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69" w:rsidRPr="00A710BF" w:rsidRDefault="002E0FE2" w:rsidP="00552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27069" w:rsidRPr="00A710BF">
        <w:rPr>
          <w:rFonts w:ascii="Times New Roman" w:hAnsi="Times New Roman" w:cs="Times New Roman"/>
          <w:sz w:val="24"/>
          <w:szCs w:val="24"/>
        </w:rPr>
        <w:t>ovember 14, 2016</w:t>
      </w:r>
    </w:p>
    <w:p w:rsidR="005521D7" w:rsidRPr="00A710BF" w:rsidRDefault="005521D7" w:rsidP="005521D7">
      <w:pPr>
        <w:spacing w:after="0" w:line="240" w:lineRule="auto"/>
        <w:jc w:val="both"/>
        <w:rPr>
          <w:rFonts w:ascii="Times New Roman" w:hAnsi="Times New Roman" w:cs="Times New Roman"/>
          <w:sz w:val="24"/>
          <w:szCs w:val="24"/>
        </w:rPr>
      </w:pP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b/>
          <w:i/>
          <w:sz w:val="24"/>
          <w:szCs w:val="24"/>
        </w:rPr>
        <w:t>Via electronic submission to</w:t>
      </w:r>
      <w:r w:rsidRPr="00A710BF">
        <w:rPr>
          <w:rFonts w:ascii="Times New Roman" w:hAnsi="Times New Roman" w:cs="Times New Roman"/>
          <w:sz w:val="24"/>
          <w:szCs w:val="24"/>
        </w:rPr>
        <w:t xml:space="preserve"> </w:t>
      </w:r>
      <w:r w:rsidRPr="00A710BF">
        <w:rPr>
          <w:rFonts w:ascii="Times New Roman" w:hAnsi="Times New Roman" w:cs="Times New Roman"/>
          <w:b/>
          <w:i/>
          <w:sz w:val="24"/>
          <w:szCs w:val="24"/>
        </w:rPr>
        <w:t>CyberRegComments@dfs.ny.gov</w:t>
      </w:r>
      <w:r w:rsidRPr="00A710BF">
        <w:rPr>
          <w:rFonts w:ascii="Times New Roman" w:hAnsi="Times New Roman" w:cs="Times New Roman"/>
          <w:sz w:val="24"/>
          <w:szCs w:val="24"/>
        </w:rPr>
        <w:t xml:space="preserve"> </w:t>
      </w: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Maria T. Vullo</w:t>
      </w: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Superintendent of Financial Services</w:t>
      </w: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New York State Department of Financial Services</w:t>
      </w: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One State Street</w:t>
      </w: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New York, New York 10004</w:t>
      </w:r>
    </w:p>
    <w:p w:rsidR="00727069" w:rsidRPr="00A710BF" w:rsidRDefault="00727069" w:rsidP="005521D7">
      <w:pPr>
        <w:spacing w:after="0" w:line="240" w:lineRule="auto"/>
        <w:jc w:val="both"/>
        <w:rPr>
          <w:rFonts w:ascii="Times New Roman" w:hAnsi="Times New Roman" w:cs="Times New Roman"/>
          <w:sz w:val="24"/>
          <w:szCs w:val="24"/>
        </w:rPr>
      </w:pPr>
    </w:p>
    <w:p w:rsidR="00727069" w:rsidRPr="00A710BF" w:rsidRDefault="00727069" w:rsidP="005521D7">
      <w:pPr>
        <w:spacing w:after="0" w:line="240" w:lineRule="auto"/>
        <w:jc w:val="both"/>
        <w:rPr>
          <w:rFonts w:ascii="Times New Roman" w:hAnsi="Times New Roman" w:cs="Times New Roman"/>
          <w:b/>
          <w:sz w:val="24"/>
          <w:szCs w:val="24"/>
        </w:rPr>
      </w:pPr>
      <w:r w:rsidRPr="00A710BF">
        <w:rPr>
          <w:rFonts w:ascii="Times New Roman" w:hAnsi="Times New Roman" w:cs="Times New Roman"/>
          <w:b/>
          <w:sz w:val="24"/>
          <w:szCs w:val="24"/>
        </w:rPr>
        <w:tab/>
        <w:t>Re: Proposed Cybersecurity Requirements for Financial Services Companies</w:t>
      </w:r>
    </w:p>
    <w:p w:rsidR="00727069" w:rsidRPr="00A710BF" w:rsidRDefault="00727069" w:rsidP="005521D7">
      <w:pPr>
        <w:spacing w:after="0" w:line="240" w:lineRule="auto"/>
        <w:jc w:val="both"/>
        <w:rPr>
          <w:rFonts w:ascii="Times New Roman" w:hAnsi="Times New Roman" w:cs="Times New Roman"/>
          <w:b/>
          <w:sz w:val="24"/>
          <w:szCs w:val="24"/>
        </w:rPr>
      </w:pPr>
    </w:p>
    <w:p w:rsidR="00727069" w:rsidRPr="00A710BF" w:rsidRDefault="00727069" w:rsidP="005521D7">
      <w:pPr>
        <w:spacing w:after="0" w:line="240" w:lineRule="auto"/>
        <w:jc w:val="both"/>
        <w:rPr>
          <w:rFonts w:ascii="Times New Roman" w:hAnsi="Times New Roman" w:cs="Times New Roman"/>
          <w:sz w:val="24"/>
          <w:szCs w:val="24"/>
        </w:rPr>
      </w:pPr>
      <w:r w:rsidRPr="00A710BF">
        <w:rPr>
          <w:rFonts w:ascii="Times New Roman" w:hAnsi="Times New Roman" w:cs="Times New Roman"/>
          <w:sz w:val="24"/>
          <w:szCs w:val="24"/>
        </w:rPr>
        <w:t>Dear Superintendent Vullo:</w:t>
      </w:r>
    </w:p>
    <w:p w:rsidR="00727069" w:rsidRPr="00A710BF" w:rsidRDefault="00727069" w:rsidP="005521D7">
      <w:pPr>
        <w:tabs>
          <w:tab w:val="num" w:pos="720"/>
        </w:tabs>
        <w:spacing w:after="0" w:line="240" w:lineRule="auto"/>
        <w:jc w:val="both"/>
        <w:rPr>
          <w:rFonts w:ascii="Times New Roman" w:hAnsi="Times New Roman" w:cs="Times New Roman"/>
          <w:sz w:val="24"/>
          <w:szCs w:val="24"/>
        </w:rPr>
      </w:pPr>
    </w:p>
    <w:p w:rsidR="00727069" w:rsidRPr="00A710BF" w:rsidRDefault="00727069" w:rsidP="005521D7">
      <w:pPr>
        <w:tabs>
          <w:tab w:val="num" w:pos="720"/>
        </w:tabs>
        <w:spacing w:after="240" w:line="240" w:lineRule="auto"/>
        <w:jc w:val="both"/>
        <w:rPr>
          <w:rFonts w:ascii="Times New Roman" w:hAnsi="Times New Roman" w:cs="Times New Roman"/>
          <w:sz w:val="24"/>
          <w:szCs w:val="24"/>
        </w:rPr>
      </w:pPr>
      <w:r w:rsidRPr="00A710BF">
        <w:rPr>
          <w:rFonts w:ascii="Times New Roman" w:hAnsi="Times New Roman" w:cs="Times New Roman"/>
          <w:sz w:val="24"/>
          <w:szCs w:val="24"/>
        </w:rPr>
        <w:t>The Electronic Transactions Association (“ETA”)</w:t>
      </w:r>
      <w:r w:rsidRPr="00A710BF">
        <w:rPr>
          <w:rStyle w:val="FootnoteReference"/>
          <w:rFonts w:ascii="Times New Roman" w:hAnsi="Times New Roman" w:cs="Times New Roman"/>
          <w:sz w:val="24"/>
          <w:szCs w:val="24"/>
        </w:rPr>
        <w:footnoteReference w:id="1"/>
      </w:r>
      <w:r w:rsidRPr="00A710BF">
        <w:rPr>
          <w:rFonts w:ascii="Times New Roman" w:hAnsi="Times New Roman" w:cs="Times New Roman"/>
          <w:sz w:val="24"/>
          <w:szCs w:val="24"/>
        </w:rPr>
        <w:t xml:space="preserve"> appreciates this opportunity to provide comments on the New York State Department of Financial Services (“</w:t>
      </w:r>
      <w:r w:rsidR="00D06D99">
        <w:rPr>
          <w:rFonts w:ascii="Times New Roman" w:hAnsi="Times New Roman" w:cs="Times New Roman"/>
          <w:sz w:val="24"/>
          <w:szCs w:val="24"/>
        </w:rPr>
        <w:t>Department</w:t>
      </w:r>
      <w:r w:rsidRPr="00A710BF">
        <w:rPr>
          <w:rFonts w:ascii="Times New Roman" w:hAnsi="Times New Roman" w:cs="Times New Roman"/>
          <w:sz w:val="24"/>
          <w:szCs w:val="24"/>
        </w:rPr>
        <w:t>”) proposed Cybersecurity Rules for Financial Services Companies (23 NYCRR 500) (</w:t>
      </w:r>
      <w:r w:rsidR="00D06D99">
        <w:rPr>
          <w:rFonts w:ascii="Times New Roman" w:hAnsi="Times New Roman" w:cs="Times New Roman"/>
          <w:sz w:val="24"/>
          <w:szCs w:val="24"/>
        </w:rPr>
        <w:t xml:space="preserve">the “Proposal” or </w:t>
      </w:r>
      <w:r w:rsidRPr="00A710BF">
        <w:rPr>
          <w:rFonts w:ascii="Times New Roman" w:hAnsi="Times New Roman" w:cs="Times New Roman"/>
          <w:sz w:val="24"/>
          <w:szCs w:val="24"/>
        </w:rPr>
        <w:t xml:space="preserve">“Rule”).  </w:t>
      </w:r>
    </w:p>
    <w:p w:rsidR="00727069" w:rsidRPr="00A710BF" w:rsidRDefault="00727069" w:rsidP="005521D7">
      <w:pPr>
        <w:pStyle w:val="NormalWeb"/>
        <w:shd w:val="clear" w:color="auto" w:fill="FFFFFF"/>
        <w:spacing w:before="0" w:beforeAutospacing="0" w:after="240" w:afterAutospacing="0"/>
        <w:jc w:val="both"/>
        <w:textAlignment w:val="baseline"/>
      </w:pPr>
      <w:r w:rsidRPr="00A710BF">
        <w:t>ETA is the leading trade association for the payments industry, representing nearly 550 companies worldwide involved in electronic transaction processing products and services. The purpose of ETA is to influence, monitor, and shape the payments industry by providing leadership through education, advocacy, and the exchange of information. ETA’s membership spans the breadth of the payments industry, and includes financial institutions, payment processors, independent sales organizations, and equipment suppliers. ETA’s members use data to provide a wide range of products and services designed to enhance and secure electronic transfers. Our members rely on data to help reduce fraud and to authenticate transactions to make transactions between businesses and consumers seamless and secure.</w:t>
      </w:r>
    </w:p>
    <w:p w:rsidR="006D098A" w:rsidRDefault="00727069" w:rsidP="004215D2">
      <w:pPr>
        <w:pStyle w:val="ListParagraph"/>
        <w:spacing w:after="240" w:line="240" w:lineRule="auto"/>
        <w:ind w:left="0"/>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ETA and its members </w:t>
      </w:r>
      <w:r w:rsidR="00D06D99">
        <w:rPr>
          <w:rFonts w:ascii="Times New Roman" w:hAnsi="Times New Roman" w:cs="Times New Roman"/>
          <w:sz w:val="24"/>
          <w:szCs w:val="24"/>
        </w:rPr>
        <w:t xml:space="preserve">are dedicated to working with </w:t>
      </w:r>
      <w:r w:rsidRPr="00A710BF">
        <w:rPr>
          <w:rFonts w:ascii="Times New Roman" w:hAnsi="Times New Roman" w:cs="Times New Roman"/>
          <w:sz w:val="24"/>
          <w:szCs w:val="24"/>
        </w:rPr>
        <w:t xml:space="preserve">federal and state regulators </w:t>
      </w:r>
      <w:r w:rsidR="00D06D99">
        <w:rPr>
          <w:rFonts w:ascii="Times New Roman" w:hAnsi="Times New Roman" w:cs="Times New Roman"/>
          <w:sz w:val="24"/>
          <w:szCs w:val="24"/>
        </w:rPr>
        <w:t xml:space="preserve">to address the important and growing issue of cybersecurity. </w:t>
      </w:r>
      <w:r w:rsidR="00D06D99" w:rsidRPr="00A710BF">
        <w:rPr>
          <w:rFonts w:ascii="Times New Roman" w:hAnsi="Times New Roman" w:cs="Times New Roman"/>
          <w:sz w:val="24"/>
          <w:szCs w:val="24"/>
        </w:rPr>
        <w:t xml:space="preserve">The prevailing cybersecurity best practices </w:t>
      </w:r>
      <w:r w:rsidR="00D06D99">
        <w:rPr>
          <w:rFonts w:ascii="Times New Roman" w:hAnsi="Times New Roman" w:cs="Times New Roman"/>
          <w:sz w:val="24"/>
          <w:szCs w:val="24"/>
        </w:rPr>
        <w:t xml:space="preserve">developed and implemented in the </w:t>
      </w:r>
      <w:r w:rsidR="00D06D99" w:rsidRPr="00A710BF">
        <w:rPr>
          <w:rFonts w:ascii="Times New Roman" w:hAnsi="Times New Roman" w:cs="Times New Roman"/>
          <w:sz w:val="24"/>
          <w:szCs w:val="24"/>
        </w:rPr>
        <w:t>financial and payments industr</w:t>
      </w:r>
      <w:r w:rsidR="00D06D99">
        <w:rPr>
          <w:rFonts w:ascii="Times New Roman" w:hAnsi="Times New Roman" w:cs="Times New Roman"/>
          <w:sz w:val="24"/>
          <w:szCs w:val="24"/>
        </w:rPr>
        <w:t>ies</w:t>
      </w:r>
      <w:r w:rsidR="00D06D99" w:rsidRPr="00A710BF">
        <w:rPr>
          <w:rFonts w:ascii="Times New Roman" w:hAnsi="Times New Roman" w:cs="Times New Roman"/>
          <w:sz w:val="24"/>
          <w:szCs w:val="24"/>
        </w:rPr>
        <w:t xml:space="preserve"> are the product of innovation and cooperation between industry and government. </w:t>
      </w:r>
      <w:r w:rsidR="00A70A57">
        <w:rPr>
          <w:rFonts w:ascii="Times New Roman" w:hAnsi="Times New Roman" w:cs="Times New Roman"/>
          <w:sz w:val="24"/>
          <w:szCs w:val="24"/>
        </w:rPr>
        <w:t>We are concerned</w:t>
      </w:r>
      <w:r w:rsidR="00715C45">
        <w:rPr>
          <w:rFonts w:ascii="Times New Roman" w:hAnsi="Times New Roman" w:cs="Times New Roman"/>
          <w:sz w:val="24"/>
          <w:szCs w:val="24"/>
        </w:rPr>
        <w:t xml:space="preserve"> </w:t>
      </w:r>
      <w:r w:rsidR="00A70A57">
        <w:rPr>
          <w:rFonts w:ascii="Times New Roman" w:hAnsi="Times New Roman" w:cs="Times New Roman"/>
          <w:sz w:val="24"/>
          <w:szCs w:val="24"/>
        </w:rPr>
        <w:t>that the</w:t>
      </w:r>
      <w:r w:rsidRPr="00A710BF">
        <w:rPr>
          <w:rFonts w:ascii="Times New Roman" w:hAnsi="Times New Roman" w:cs="Times New Roman"/>
          <w:sz w:val="24"/>
          <w:szCs w:val="24"/>
        </w:rPr>
        <w:t xml:space="preserve"> </w:t>
      </w:r>
      <w:r w:rsidR="00A70A57">
        <w:rPr>
          <w:rFonts w:ascii="Times New Roman" w:hAnsi="Times New Roman" w:cs="Times New Roman"/>
          <w:sz w:val="24"/>
          <w:szCs w:val="24"/>
        </w:rPr>
        <w:t>Department’s</w:t>
      </w:r>
      <w:r w:rsidRPr="00A710BF">
        <w:rPr>
          <w:rFonts w:ascii="Times New Roman" w:hAnsi="Times New Roman" w:cs="Times New Roman"/>
          <w:sz w:val="24"/>
          <w:szCs w:val="24"/>
        </w:rPr>
        <w:t xml:space="preserve"> </w:t>
      </w:r>
      <w:r w:rsidR="00A70A57">
        <w:rPr>
          <w:rFonts w:ascii="Times New Roman" w:hAnsi="Times New Roman" w:cs="Times New Roman"/>
          <w:sz w:val="24"/>
          <w:szCs w:val="24"/>
        </w:rPr>
        <w:t>Pr</w:t>
      </w:r>
      <w:r w:rsidRPr="00A710BF">
        <w:rPr>
          <w:rFonts w:ascii="Times New Roman" w:hAnsi="Times New Roman" w:cs="Times New Roman"/>
          <w:sz w:val="24"/>
          <w:szCs w:val="24"/>
        </w:rPr>
        <w:t xml:space="preserve">oposal </w:t>
      </w:r>
      <w:r w:rsidR="00715C45">
        <w:rPr>
          <w:rFonts w:ascii="Times New Roman" w:hAnsi="Times New Roman" w:cs="Times New Roman"/>
          <w:sz w:val="24"/>
          <w:szCs w:val="24"/>
        </w:rPr>
        <w:t xml:space="preserve">may </w:t>
      </w:r>
      <w:r w:rsidRPr="00A710BF">
        <w:rPr>
          <w:rFonts w:ascii="Times New Roman" w:hAnsi="Times New Roman" w:cs="Times New Roman"/>
          <w:sz w:val="24"/>
          <w:szCs w:val="24"/>
        </w:rPr>
        <w:t xml:space="preserve">undermine the </w:t>
      </w:r>
      <w:r w:rsidR="00715C45">
        <w:rPr>
          <w:rFonts w:ascii="Times New Roman" w:hAnsi="Times New Roman" w:cs="Times New Roman"/>
          <w:sz w:val="24"/>
          <w:szCs w:val="24"/>
        </w:rPr>
        <w:t xml:space="preserve">progress that these </w:t>
      </w:r>
      <w:r w:rsidRPr="00A710BF">
        <w:rPr>
          <w:rFonts w:ascii="Times New Roman" w:hAnsi="Times New Roman" w:cs="Times New Roman"/>
          <w:sz w:val="24"/>
          <w:szCs w:val="24"/>
        </w:rPr>
        <w:t xml:space="preserve">federal and self-regulatory efforts </w:t>
      </w:r>
      <w:r w:rsidR="00715C45">
        <w:rPr>
          <w:rFonts w:ascii="Times New Roman" w:hAnsi="Times New Roman" w:cs="Times New Roman"/>
          <w:sz w:val="24"/>
          <w:szCs w:val="24"/>
        </w:rPr>
        <w:t>have made in</w:t>
      </w:r>
      <w:r w:rsidRPr="00A710BF">
        <w:rPr>
          <w:rFonts w:ascii="Times New Roman" w:hAnsi="Times New Roman" w:cs="Times New Roman"/>
          <w:sz w:val="24"/>
          <w:szCs w:val="24"/>
        </w:rPr>
        <w:t xml:space="preserve"> combatting cybersecurity threats in the financial industry. </w:t>
      </w:r>
      <w:r w:rsidR="00A70A57">
        <w:rPr>
          <w:rFonts w:ascii="Times New Roman" w:hAnsi="Times New Roman" w:cs="Times New Roman"/>
          <w:sz w:val="24"/>
          <w:szCs w:val="24"/>
        </w:rPr>
        <w:t xml:space="preserve">First, </w:t>
      </w:r>
      <w:r w:rsidRPr="00A710BF">
        <w:rPr>
          <w:rFonts w:ascii="Times New Roman" w:hAnsi="Times New Roman" w:cs="Times New Roman"/>
          <w:sz w:val="24"/>
          <w:szCs w:val="24"/>
        </w:rPr>
        <w:t xml:space="preserve">the introduction of overlapping </w:t>
      </w:r>
      <w:r w:rsidRPr="00A710BF">
        <w:rPr>
          <w:rFonts w:ascii="Times New Roman" w:hAnsi="Times New Roman" w:cs="Times New Roman"/>
          <w:sz w:val="24"/>
          <w:szCs w:val="24"/>
        </w:rPr>
        <w:lastRenderedPageBreak/>
        <w:t xml:space="preserve">and potentially conflicting state regulations will cause confusion </w:t>
      </w:r>
      <w:r w:rsidR="00715C45">
        <w:rPr>
          <w:rFonts w:ascii="Times New Roman" w:hAnsi="Times New Roman" w:cs="Times New Roman"/>
          <w:sz w:val="24"/>
          <w:szCs w:val="24"/>
        </w:rPr>
        <w:t xml:space="preserve">and compliance challenges </w:t>
      </w:r>
      <w:r w:rsidRPr="00A710BF">
        <w:rPr>
          <w:rFonts w:ascii="Times New Roman" w:hAnsi="Times New Roman" w:cs="Times New Roman"/>
          <w:sz w:val="24"/>
          <w:szCs w:val="24"/>
        </w:rPr>
        <w:t xml:space="preserve">for the financial industry. Second, </w:t>
      </w:r>
      <w:r w:rsidR="00A70A57">
        <w:rPr>
          <w:rFonts w:ascii="Times New Roman" w:hAnsi="Times New Roman" w:cs="Times New Roman"/>
          <w:sz w:val="24"/>
          <w:szCs w:val="24"/>
        </w:rPr>
        <w:t>the P</w:t>
      </w:r>
      <w:r w:rsidR="00715C45">
        <w:rPr>
          <w:rFonts w:ascii="Times New Roman" w:hAnsi="Times New Roman" w:cs="Times New Roman"/>
          <w:sz w:val="24"/>
          <w:szCs w:val="24"/>
        </w:rPr>
        <w:t xml:space="preserve">roposal’s prescriptive and static rules </w:t>
      </w:r>
      <w:r w:rsidR="00A70A57" w:rsidRPr="00A710BF">
        <w:rPr>
          <w:rFonts w:ascii="Times New Roman" w:hAnsi="Times New Roman" w:cs="Times New Roman"/>
          <w:sz w:val="24"/>
          <w:szCs w:val="24"/>
        </w:rPr>
        <w:t xml:space="preserve">would </w:t>
      </w:r>
      <w:r w:rsidR="00715C45">
        <w:rPr>
          <w:rFonts w:ascii="Times New Roman" w:hAnsi="Times New Roman" w:cs="Times New Roman"/>
          <w:sz w:val="24"/>
          <w:szCs w:val="24"/>
        </w:rPr>
        <w:t xml:space="preserve">likely </w:t>
      </w:r>
      <w:r w:rsidR="00A70A57" w:rsidRPr="00A710BF">
        <w:rPr>
          <w:rFonts w:ascii="Times New Roman" w:hAnsi="Times New Roman" w:cs="Times New Roman"/>
          <w:sz w:val="24"/>
          <w:szCs w:val="24"/>
        </w:rPr>
        <w:t>hinder the ability of institutions to design and calibrate their cybersecurity programs for emerging threats.</w:t>
      </w:r>
      <w:r w:rsidR="00A70A57">
        <w:rPr>
          <w:rFonts w:ascii="Times New Roman" w:hAnsi="Times New Roman" w:cs="Times New Roman"/>
          <w:sz w:val="24"/>
          <w:szCs w:val="24"/>
        </w:rPr>
        <w:t xml:space="preserve"> In contrast, t</w:t>
      </w:r>
      <w:r w:rsidRPr="00A710BF">
        <w:rPr>
          <w:rFonts w:ascii="Times New Roman" w:hAnsi="Times New Roman" w:cs="Times New Roman"/>
          <w:sz w:val="24"/>
          <w:szCs w:val="24"/>
        </w:rPr>
        <w:t xml:space="preserve">he federal government has long supported a flexible, risk-based approach to cybersecurity, as demonstrated by the National Institute of Standards and Technology (“NIST”) cybersecurity framework, which encourages industry to adapt to ever-changing cyber threats. </w:t>
      </w:r>
    </w:p>
    <w:p w:rsidR="00A70A57" w:rsidRPr="00A710BF" w:rsidRDefault="006D098A" w:rsidP="006D098A">
      <w:pPr>
        <w:spacing w:after="240" w:line="240" w:lineRule="auto"/>
        <w:jc w:val="both"/>
        <w:rPr>
          <w:rFonts w:ascii="Times New Roman" w:hAnsi="Times New Roman" w:cs="Times New Roman"/>
          <w:sz w:val="24"/>
          <w:szCs w:val="24"/>
        </w:rPr>
      </w:pPr>
      <w:r w:rsidRPr="00A710BF">
        <w:rPr>
          <w:rFonts w:ascii="Times New Roman" w:hAnsi="Times New Roman" w:cs="Times New Roman"/>
          <w:sz w:val="24"/>
          <w:szCs w:val="24"/>
        </w:rPr>
        <w:t xml:space="preserve">To the extent additional cybersecurity requirements are necessary, ETA supports a </w:t>
      </w:r>
      <w:r w:rsidR="00715C45">
        <w:rPr>
          <w:rFonts w:ascii="Times New Roman" w:hAnsi="Times New Roman" w:cs="Times New Roman"/>
          <w:sz w:val="24"/>
          <w:szCs w:val="24"/>
        </w:rPr>
        <w:t xml:space="preserve">regulatory </w:t>
      </w:r>
      <w:r w:rsidRPr="00A710BF">
        <w:rPr>
          <w:rFonts w:ascii="Times New Roman" w:hAnsi="Times New Roman" w:cs="Times New Roman"/>
          <w:sz w:val="24"/>
          <w:szCs w:val="24"/>
        </w:rPr>
        <w:t xml:space="preserve">approach that provides industry with flexibility to keep pace with innovation in cybersecurity technology and emerging cyber threats. </w:t>
      </w:r>
      <w:r w:rsidR="00A70A57">
        <w:rPr>
          <w:rFonts w:ascii="Times New Roman" w:hAnsi="Times New Roman" w:cs="Times New Roman"/>
          <w:sz w:val="24"/>
          <w:szCs w:val="24"/>
        </w:rPr>
        <w:t xml:space="preserve">The following provide ETA’s general comments </w:t>
      </w:r>
      <w:r w:rsidR="00715C45">
        <w:rPr>
          <w:rFonts w:ascii="Times New Roman" w:hAnsi="Times New Roman" w:cs="Times New Roman"/>
          <w:sz w:val="24"/>
          <w:szCs w:val="24"/>
        </w:rPr>
        <w:t>on</w:t>
      </w:r>
      <w:r w:rsidR="00A70A57">
        <w:rPr>
          <w:rFonts w:ascii="Times New Roman" w:hAnsi="Times New Roman" w:cs="Times New Roman"/>
          <w:sz w:val="24"/>
          <w:szCs w:val="24"/>
        </w:rPr>
        <w:t xml:space="preserve"> the Department’s </w:t>
      </w:r>
      <w:r w:rsidR="00715C45">
        <w:rPr>
          <w:rFonts w:ascii="Times New Roman" w:hAnsi="Times New Roman" w:cs="Times New Roman"/>
          <w:sz w:val="24"/>
          <w:szCs w:val="24"/>
        </w:rPr>
        <w:t>Proposal</w:t>
      </w:r>
      <w:r w:rsidR="00A70A57">
        <w:rPr>
          <w:rFonts w:ascii="Times New Roman" w:hAnsi="Times New Roman" w:cs="Times New Roman"/>
          <w:sz w:val="24"/>
          <w:szCs w:val="24"/>
        </w:rPr>
        <w:t xml:space="preserve">, as well as specific comments related to the rules set forth in </w:t>
      </w:r>
      <w:r w:rsidR="00A70A57" w:rsidRPr="00A710BF">
        <w:rPr>
          <w:rFonts w:ascii="Times New Roman" w:hAnsi="Times New Roman" w:cs="Times New Roman"/>
          <w:sz w:val="24"/>
          <w:szCs w:val="24"/>
        </w:rPr>
        <w:t>23 NYCRR 500</w:t>
      </w:r>
      <w:r w:rsidR="00A70A57">
        <w:rPr>
          <w:rFonts w:ascii="Times New Roman" w:hAnsi="Times New Roman" w:cs="Times New Roman"/>
          <w:sz w:val="24"/>
          <w:szCs w:val="24"/>
        </w:rPr>
        <w:t>.</w:t>
      </w:r>
      <w:r w:rsidR="00715C45" w:rsidRPr="00715C45">
        <w:rPr>
          <w:rFonts w:ascii="Times New Roman" w:hAnsi="Times New Roman" w:cs="Times New Roman"/>
          <w:sz w:val="24"/>
          <w:szCs w:val="24"/>
        </w:rPr>
        <w:t xml:space="preserve"> </w:t>
      </w:r>
    </w:p>
    <w:p w:rsidR="00727069" w:rsidRPr="00A710BF" w:rsidRDefault="00727069" w:rsidP="005521D7">
      <w:pPr>
        <w:pStyle w:val="ListParagraph"/>
        <w:spacing w:after="240" w:line="240" w:lineRule="auto"/>
        <w:ind w:left="0"/>
        <w:contextualSpacing w:val="0"/>
        <w:jc w:val="center"/>
        <w:rPr>
          <w:rFonts w:ascii="Times New Roman" w:hAnsi="Times New Roman" w:cs="Times New Roman"/>
          <w:b/>
          <w:caps/>
          <w:sz w:val="24"/>
          <w:szCs w:val="24"/>
        </w:rPr>
      </w:pPr>
      <w:r w:rsidRPr="00A710BF">
        <w:rPr>
          <w:rFonts w:ascii="Times New Roman" w:hAnsi="Times New Roman" w:cs="Times New Roman"/>
          <w:b/>
          <w:caps/>
          <w:sz w:val="24"/>
          <w:szCs w:val="24"/>
        </w:rPr>
        <w:t xml:space="preserve">General Comments on the </w:t>
      </w:r>
      <w:r w:rsidR="00B44749" w:rsidRPr="00A710BF">
        <w:rPr>
          <w:rFonts w:ascii="Times New Roman" w:hAnsi="Times New Roman" w:cs="Times New Roman"/>
          <w:b/>
          <w:caps/>
          <w:sz w:val="24"/>
          <w:szCs w:val="24"/>
        </w:rPr>
        <w:t>department’s</w:t>
      </w:r>
      <w:r w:rsidRPr="00A710BF">
        <w:rPr>
          <w:rFonts w:ascii="Times New Roman" w:hAnsi="Times New Roman" w:cs="Times New Roman"/>
          <w:b/>
          <w:caps/>
          <w:sz w:val="24"/>
          <w:szCs w:val="24"/>
        </w:rPr>
        <w:t xml:space="preserve"> </w:t>
      </w:r>
      <w:r w:rsidR="00B44749" w:rsidRPr="00A710BF">
        <w:rPr>
          <w:rFonts w:ascii="Times New Roman" w:hAnsi="Times New Roman" w:cs="Times New Roman"/>
          <w:b/>
          <w:caps/>
          <w:sz w:val="24"/>
          <w:szCs w:val="24"/>
        </w:rPr>
        <w:t xml:space="preserve">approach for </w:t>
      </w:r>
      <w:r w:rsidRPr="00A710BF">
        <w:rPr>
          <w:rFonts w:ascii="Times New Roman" w:hAnsi="Times New Roman" w:cs="Times New Roman"/>
          <w:b/>
          <w:caps/>
          <w:sz w:val="24"/>
          <w:szCs w:val="24"/>
        </w:rPr>
        <w:t>Cybersecurity</w:t>
      </w:r>
      <w:r w:rsidR="00B44749" w:rsidRPr="00A710BF">
        <w:rPr>
          <w:rFonts w:ascii="Times New Roman" w:hAnsi="Times New Roman" w:cs="Times New Roman"/>
          <w:b/>
          <w:caps/>
          <w:sz w:val="24"/>
          <w:szCs w:val="24"/>
        </w:rPr>
        <w:t xml:space="preserve"> in the financial industry</w:t>
      </w:r>
    </w:p>
    <w:p w:rsidR="00727069" w:rsidRPr="00A710BF" w:rsidRDefault="00F477D6" w:rsidP="006D098A">
      <w:pPr>
        <w:pStyle w:val="BodyText"/>
        <w:spacing w:after="240" w:line="240" w:lineRule="auto"/>
        <w:jc w:val="both"/>
        <w:rPr>
          <w:rFonts w:ascii="Times New Roman" w:hAnsi="Times New Roman" w:cs="Times New Roman"/>
          <w:sz w:val="24"/>
          <w:szCs w:val="24"/>
        </w:rPr>
      </w:pPr>
      <w:r w:rsidRPr="00F477D6">
        <w:rPr>
          <w:rFonts w:ascii="Times New Roman" w:hAnsi="Times New Roman" w:cs="Times New Roman"/>
          <w:b/>
          <w:i/>
          <w:sz w:val="24"/>
          <w:szCs w:val="24"/>
        </w:rPr>
        <w:t>ETA Supports a Flexible National Standard for Cybersecurity.</w:t>
      </w:r>
      <w:r>
        <w:rPr>
          <w:rFonts w:ascii="Times New Roman" w:hAnsi="Times New Roman" w:cs="Times New Roman"/>
          <w:sz w:val="24"/>
          <w:szCs w:val="24"/>
        </w:rPr>
        <w:t xml:space="preserve"> </w:t>
      </w:r>
      <w:r w:rsidR="00727069" w:rsidRPr="00A710BF">
        <w:rPr>
          <w:rFonts w:ascii="Times New Roman" w:hAnsi="Times New Roman" w:cs="Times New Roman"/>
          <w:sz w:val="24"/>
          <w:szCs w:val="24"/>
        </w:rPr>
        <w:t xml:space="preserve">ETA believes that a </w:t>
      </w:r>
      <w:r w:rsidR="006D098A">
        <w:rPr>
          <w:rFonts w:ascii="Times New Roman" w:hAnsi="Times New Roman" w:cs="Times New Roman"/>
          <w:sz w:val="24"/>
          <w:szCs w:val="24"/>
        </w:rPr>
        <w:t>flexible</w:t>
      </w:r>
      <w:r w:rsidR="00727069" w:rsidRPr="00A710BF">
        <w:rPr>
          <w:rFonts w:ascii="Times New Roman" w:hAnsi="Times New Roman" w:cs="Times New Roman"/>
          <w:sz w:val="24"/>
          <w:szCs w:val="24"/>
        </w:rPr>
        <w:t xml:space="preserve"> national framework is the most effective approach for addressing cybersecurity risks. In the electronic transactions industry, financial information data is governed by federal law, including the Gramm-Leach-Bliley Act (“GLBA”), the Federal Trade Commission’s Safeguards Rule, and robust self-regulatory programs, including the Payment Card Industry Data Security Standard (“PCI-DSS”), which sets forth requirements designed to ensure companies that process, store, or transmit credit card information maintain a secure environment for such data. </w:t>
      </w:r>
    </w:p>
    <w:p w:rsidR="00727069" w:rsidRPr="00A710BF" w:rsidRDefault="00727069" w:rsidP="005521D7">
      <w:pPr>
        <w:pStyle w:val="ListParagraph"/>
        <w:spacing w:after="240" w:line="240" w:lineRule="auto"/>
        <w:ind w:left="0"/>
        <w:contextualSpacing w:val="0"/>
        <w:jc w:val="both"/>
        <w:rPr>
          <w:rFonts w:ascii="Times New Roman" w:hAnsi="Times New Roman" w:cs="Times New Roman"/>
          <w:sz w:val="24"/>
          <w:szCs w:val="24"/>
        </w:rPr>
      </w:pPr>
      <w:r w:rsidRPr="00A710BF">
        <w:rPr>
          <w:rFonts w:ascii="Times New Roman" w:hAnsi="Times New Roman" w:cs="Times New Roman"/>
          <w:sz w:val="24"/>
          <w:szCs w:val="24"/>
        </w:rPr>
        <w:t>Since taking effect in 2003, for example, the information security requirements imposed by the Safeguards Rule have been held up as a model set of elements for developing an information security program. These elements have served as a foundation upon which financial institutions and services companies have built leading cybersecurity programs, leveraging the inherent flexibility of the Safeguards Rule to tailor information security practices and protocols that meet their unique business models, data use practices, and network environments. More recently, in February 2013, President Obama released Executive Order 13636, “Improving Critical Infrastructure Cybersecurity,” which directed NIST to work with stakeholders to “develop a voluntary framework—based on existing standards, guidelines, and practices—for reducing cyber risks to critical infrastructure.” The NIST Cybersecurity Framework</w:t>
      </w:r>
      <w:r w:rsidR="0020450D">
        <w:rPr>
          <w:rFonts w:ascii="Times New Roman" w:hAnsi="Times New Roman" w:cs="Times New Roman"/>
          <w:sz w:val="24"/>
          <w:szCs w:val="24"/>
        </w:rPr>
        <w:t>, released in February 2014,</w:t>
      </w:r>
      <w:r w:rsidRPr="00A710BF">
        <w:rPr>
          <w:rFonts w:ascii="Times New Roman" w:hAnsi="Times New Roman" w:cs="Times New Roman"/>
          <w:sz w:val="24"/>
          <w:szCs w:val="24"/>
        </w:rPr>
        <w:t xml:space="preserve"> has seen widespread industry participation, including in the financial industry. </w:t>
      </w:r>
    </w:p>
    <w:p w:rsidR="006D098A" w:rsidRDefault="00F477D6" w:rsidP="006D098A">
      <w:pPr>
        <w:spacing w:after="240" w:line="240" w:lineRule="auto"/>
        <w:jc w:val="both"/>
        <w:rPr>
          <w:rFonts w:ascii="Times New Roman" w:hAnsi="Times New Roman" w:cs="Times New Roman"/>
          <w:sz w:val="24"/>
          <w:szCs w:val="24"/>
        </w:rPr>
      </w:pPr>
      <w:r w:rsidRPr="00F477D6">
        <w:rPr>
          <w:rFonts w:ascii="Times New Roman" w:hAnsi="Times New Roman" w:cs="Times New Roman"/>
          <w:b/>
          <w:i/>
          <w:sz w:val="24"/>
          <w:szCs w:val="24"/>
        </w:rPr>
        <w:lastRenderedPageBreak/>
        <w:t>A Patchwork of State Laws Undermines the Effectiveness of Cybersecurity Programs.</w:t>
      </w:r>
      <w:r>
        <w:rPr>
          <w:rFonts w:ascii="Times New Roman" w:hAnsi="Times New Roman" w:cs="Times New Roman"/>
          <w:sz w:val="24"/>
          <w:szCs w:val="24"/>
        </w:rPr>
        <w:t xml:space="preserve"> </w:t>
      </w:r>
      <w:r w:rsidR="006D098A" w:rsidRPr="00A710BF">
        <w:rPr>
          <w:rFonts w:ascii="Times New Roman" w:hAnsi="Times New Roman" w:cs="Times New Roman"/>
          <w:sz w:val="24"/>
          <w:szCs w:val="24"/>
        </w:rPr>
        <w:t xml:space="preserve">ETA is concerned that the </w:t>
      </w:r>
      <w:r w:rsidR="006D098A">
        <w:rPr>
          <w:rFonts w:ascii="Times New Roman" w:hAnsi="Times New Roman" w:cs="Times New Roman"/>
          <w:sz w:val="24"/>
          <w:szCs w:val="24"/>
        </w:rPr>
        <w:t>P</w:t>
      </w:r>
      <w:r w:rsidR="006D098A" w:rsidRPr="00A710BF">
        <w:rPr>
          <w:rFonts w:ascii="Times New Roman" w:hAnsi="Times New Roman" w:cs="Times New Roman"/>
          <w:sz w:val="24"/>
          <w:szCs w:val="24"/>
        </w:rPr>
        <w:t xml:space="preserve">roposal will </w:t>
      </w:r>
      <w:r w:rsidR="006D098A">
        <w:rPr>
          <w:rFonts w:ascii="Times New Roman" w:hAnsi="Times New Roman" w:cs="Times New Roman"/>
          <w:sz w:val="24"/>
          <w:szCs w:val="24"/>
        </w:rPr>
        <w:t xml:space="preserve">undermine the current, effective </w:t>
      </w:r>
      <w:r w:rsidR="00715C45">
        <w:rPr>
          <w:rFonts w:ascii="Times New Roman" w:hAnsi="Times New Roman" w:cs="Times New Roman"/>
          <w:sz w:val="24"/>
          <w:szCs w:val="24"/>
        </w:rPr>
        <w:t xml:space="preserve">federal and self-regulatory </w:t>
      </w:r>
      <w:r w:rsidR="006D098A">
        <w:rPr>
          <w:rFonts w:ascii="Times New Roman" w:hAnsi="Times New Roman" w:cs="Times New Roman"/>
          <w:sz w:val="24"/>
          <w:szCs w:val="24"/>
        </w:rPr>
        <w:t xml:space="preserve">framework by </w:t>
      </w:r>
      <w:r w:rsidR="006D098A" w:rsidRPr="00A710BF">
        <w:rPr>
          <w:rFonts w:ascii="Times New Roman" w:hAnsi="Times New Roman" w:cs="Times New Roman"/>
          <w:sz w:val="24"/>
          <w:szCs w:val="24"/>
        </w:rPr>
        <w:t>encourag</w:t>
      </w:r>
      <w:r w:rsidR="006D098A">
        <w:rPr>
          <w:rFonts w:ascii="Times New Roman" w:hAnsi="Times New Roman" w:cs="Times New Roman"/>
          <w:sz w:val="24"/>
          <w:szCs w:val="24"/>
        </w:rPr>
        <w:t>ing</w:t>
      </w:r>
      <w:r w:rsidR="006D098A" w:rsidRPr="00A710BF">
        <w:rPr>
          <w:rFonts w:ascii="Times New Roman" w:hAnsi="Times New Roman" w:cs="Times New Roman"/>
          <w:sz w:val="24"/>
          <w:szCs w:val="24"/>
        </w:rPr>
        <w:t xml:space="preserve"> other states to adopt similar, but potentially different cybersecurity requirements, resulting in a patchwork of federal and state requirements for cybersecurity. This approach will force businesses to spend considerable resources interpreting and building compliance frameworks for competing regimes, while also encouraging a “check the box” approach to compliance in place of flexible, agile, and innovative programs. </w:t>
      </w:r>
    </w:p>
    <w:p w:rsidR="0079403C" w:rsidRDefault="0079403C" w:rsidP="006D098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separate state regimes will not only increase the compliance burden of regulated entities, but </w:t>
      </w:r>
      <w:r w:rsidR="0020450D">
        <w:rPr>
          <w:rFonts w:ascii="Times New Roman" w:hAnsi="Times New Roman" w:cs="Times New Roman"/>
          <w:sz w:val="24"/>
          <w:szCs w:val="24"/>
        </w:rPr>
        <w:t xml:space="preserve">also </w:t>
      </w:r>
      <w:r w:rsidR="00D84968">
        <w:rPr>
          <w:rFonts w:ascii="Times New Roman" w:hAnsi="Times New Roman" w:cs="Times New Roman"/>
          <w:sz w:val="24"/>
          <w:szCs w:val="24"/>
        </w:rPr>
        <w:t xml:space="preserve">will </w:t>
      </w:r>
      <w:r>
        <w:rPr>
          <w:rFonts w:ascii="Times New Roman" w:hAnsi="Times New Roman" w:cs="Times New Roman"/>
          <w:sz w:val="24"/>
          <w:szCs w:val="24"/>
        </w:rPr>
        <w:t xml:space="preserve">undermine Federal efforts to develop additional national best practices and standards for cybersecurity. On October 19, 2016, for example, the </w:t>
      </w:r>
      <w:r w:rsidRPr="0079403C">
        <w:rPr>
          <w:rFonts w:ascii="Times New Roman" w:hAnsi="Times New Roman" w:cs="Times New Roman"/>
          <w:sz w:val="24"/>
          <w:szCs w:val="24"/>
        </w:rPr>
        <w:t>Federal Reserve Board, the Federal Deposit Insurance Corporation, and the Office of the Comptroller of the Currency</w:t>
      </w:r>
      <w:r>
        <w:rPr>
          <w:rFonts w:ascii="Times New Roman" w:hAnsi="Times New Roman" w:cs="Times New Roman"/>
          <w:sz w:val="24"/>
          <w:szCs w:val="24"/>
        </w:rPr>
        <w:t xml:space="preserve"> issued an advanced notice of proposed rulemaking on </w:t>
      </w:r>
      <w:r w:rsidRPr="0079403C">
        <w:rPr>
          <w:rFonts w:ascii="Times New Roman" w:hAnsi="Times New Roman" w:cs="Times New Roman"/>
          <w:sz w:val="24"/>
          <w:szCs w:val="24"/>
        </w:rPr>
        <w:t>Enhanced Cyber Risk Management Standards</w:t>
      </w:r>
      <w:r>
        <w:rPr>
          <w:rFonts w:ascii="Times New Roman" w:hAnsi="Times New Roman" w:cs="Times New Roman"/>
          <w:sz w:val="24"/>
          <w:szCs w:val="24"/>
        </w:rPr>
        <w:t xml:space="preserve">. </w:t>
      </w:r>
      <w:r w:rsidRPr="0079403C">
        <w:rPr>
          <w:rFonts w:ascii="Times New Roman" w:hAnsi="Times New Roman" w:cs="Times New Roman"/>
          <w:sz w:val="24"/>
          <w:szCs w:val="24"/>
        </w:rPr>
        <w:t xml:space="preserve">The standards would </w:t>
      </w:r>
      <w:r>
        <w:rPr>
          <w:rFonts w:ascii="Times New Roman" w:hAnsi="Times New Roman" w:cs="Times New Roman"/>
          <w:sz w:val="24"/>
          <w:szCs w:val="24"/>
        </w:rPr>
        <w:t xml:space="preserve">potentially </w:t>
      </w:r>
      <w:r w:rsidRPr="0079403C">
        <w:rPr>
          <w:rFonts w:ascii="Times New Roman" w:hAnsi="Times New Roman" w:cs="Times New Roman"/>
          <w:sz w:val="24"/>
          <w:szCs w:val="24"/>
        </w:rPr>
        <w:t xml:space="preserve">apply to </w:t>
      </w:r>
      <w:r>
        <w:rPr>
          <w:rFonts w:ascii="Times New Roman" w:hAnsi="Times New Roman" w:cs="Times New Roman"/>
          <w:sz w:val="24"/>
          <w:szCs w:val="24"/>
        </w:rPr>
        <w:t xml:space="preserve">third party service providers. </w:t>
      </w:r>
      <w:r w:rsidR="004215D2" w:rsidRPr="004215D2">
        <w:rPr>
          <w:rFonts w:ascii="Times New Roman" w:hAnsi="Times New Roman" w:cs="Times New Roman"/>
          <w:sz w:val="24"/>
          <w:szCs w:val="24"/>
        </w:rPr>
        <w:t>The standards would be tiered, with an additional set of higher standards for systems that provide key functionality to the financial sector.  For these sector-critical systems, the agencies are considering requiring firms to substantially mitigate the risk of a disruption or failure due to a cyber event.</w:t>
      </w:r>
    </w:p>
    <w:p w:rsidR="006D098A" w:rsidRDefault="001268F4" w:rsidP="005521D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4215D2">
        <w:rPr>
          <w:rFonts w:ascii="Times New Roman" w:hAnsi="Times New Roman" w:cs="Times New Roman"/>
          <w:sz w:val="24"/>
          <w:szCs w:val="24"/>
        </w:rPr>
        <w:t xml:space="preserve">states </w:t>
      </w:r>
      <w:r>
        <w:rPr>
          <w:rFonts w:ascii="Times New Roman" w:hAnsi="Times New Roman" w:cs="Times New Roman"/>
          <w:sz w:val="24"/>
          <w:szCs w:val="24"/>
        </w:rPr>
        <w:t xml:space="preserve">continue </w:t>
      </w:r>
      <w:r w:rsidR="00D84968">
        <w:rPr>
          <w:rFonts w:ascii="Times New Roman" w:hAnsi="Times New Roman" w:cs="Times New Roman"/>
          <w:sz w:val="24"/>
          <w:szCs w:val="24"/>
        </w:rPr>
        <w:t xml:space="preserve">to </w:t>
      </w:r>
      <w:r w:rsidR="004215D2">
        <w:rPr>
          <w:rFonts w:ascii="Times New Roman" w:hAnsi="Times New Roman" w:cs="Times New Roman"/>
          <w:sz w:val="24"/>
          <w:szCs w:val="24"/>
        </w:rPr>
        <w:t xml:space="preserve">develop their own </w:t>
      </w:r>
      <w:r>
        <w:rPr>
          <w:rFonts w:ascii="Times New Roman" w:hAnsi="Times New Roman" w:cs="Times New Roman"/>
          <w:sz w:val="24"/>
          <w:szCs w:val="24"/>
        </w:rPr>
        <w:t xml:space="preserve">cybersecurity </w:t>
      </w:r>
      <w:r w:rsidR="004215D2">
        <w:rPr>
          <w:rFonts w:ascii="Times New Roman" w:hAnsi="Times New Roman" w:cs="Times New Roman"/>
          <w:sz w:val="24"/>
          <w:szCs w:val="24"/>
        </w:rPr>
        <w:t xml:space="preserve">regimes, the focus of cybersecurity </w:t>
      </w:r>
      <w:r>
        <w:rPr>
          <w:rFonts w:ascii="Times New Roman" w:hAnsi="Times New Roman" w:cs="Times New Roman"/>
          <w:sz w:val="24"/>
          <w:szCs w:val="24"/>
        </w:rPr>
        <w:t xml:space="preserve">in the private sector </w:t>
      </w:r>
      <w:r w:rsidR="004215D2">
        <w:rPr>
          <w:rFonts w:ascii="Times New Roman" w:hAnsi="Times New Roman" w:cs="Times New Roman"/>
          <w:sz w:val="24"/>
          <w:szCs w:val="24"/>
        </w:rPr>
        <w:t>will shift from developing new and innovative best practices to managing and comply</w:t>
      </w:r>
      <w:r>
        <w:rPr>
          <w:rFonts w:ascii="Times New Roman" w:hAnsi="Times New Roman" w:cs="Times New Roman"/>
          <w:sz w:val="24"/>
          <w:szCs w:val="24"/>
        </w:rPr>
        <w:t>ing</w:t>
      </w:r>
      <w:r w:rsidR="004215D2">
        <w:rPr>
          <w:rFonts w:ascii="Times New Roman" w:hAnsi="Times New Roman" w:cs="Times New Roman"/>
          <w:sz w:val="24"/>
          <w:szCs w:val="24"/>
        </w:rPr>
        <w:t xml:space="preserve"> with overlapping, </w:t>
      </w:r>
      <w:r>
        <w:rPr>
          <w:rFonts w:ascii="Times New Roman" w:hAnsi="Times New Roman" w:cs="Times New Roman"/>
          <w:sz w:val="24"/>
          <w:szCs w:val="24"/>
        </w:rPr>
        <w:t xml:space="preserve">or </w:t>
      </w:r>
      <w:r w:rsidR="004215D2">
        <w:rPr>
          <w:rFonts w:ascii="Times New Roman" w:hAnsi="Times New Roman" w:cs="Times New Roman"/>
          <w:sz w:val="24"/>
          <w:szCs w:val="24"/>
        </w:rPr>
        <w:t>worse, conflicting</w:t>
      </w:r>
      <w:r>
        <w:rPr>
          <w:rFonts w:ascii="Times New Roman" w:hAnsi="Times New Roman" w:cs="Times New Roman"/>
          <w:sz w:val="24"/>
          <w:szCs w:val="24"/>
        </w:rPr>
        <w:t>,</w:t>
      </w:r>
      <w:r w:rsidR="004215D2">
        <w:rPr>
          <w:rFonts w:ascii="Times New Roman" w:hAnsi="Times New Roman" w:cs="Times New Roman"/>
          <w:sz w:val="24"/>
          <w:szCs w:val="24"/>
        </w:rPr>
        <w:t xml:space="preserve"> state and federal requirements. </w:t>
      </w:r>
    </w:p>
    <w:p w:rsidR="006D098A" w:rsidRPr="00A710BF" w:rsidRDefault="00F477D6" w:rsidP="006D098A">
      <w:pPr>
        <w:spacing w:after="240" w:line="240" w:lineRule="auto"/>
        <w:jc w:val="both"/>
        <w:rPr>
          <w:rFonts w:ascii="Times New Roman" w:hAnsi="Times New Roman" w:cs="Times New Roman"/>
          <w:sz w:val="24"/>
          <w:szCs w:val="24"/>
        </w:rPr>
      </w:pPr>
      <w:r w:rsidRPr="00F477D6">
        <w:rPr>
          <w:rFonts w:ascii="Times New Roman" w:hAnsi="Times New Roman" w:cs="Times New Roman"/>
          <w:b/>
          <w:i/>
          <w:sz w:val="24"/>
          <w:szCs w:val="24"/>
        </w:rPr>
        <w:t>The Proposal’s Prescriptive Requirements Will Limit Flexibility and Innovation.</w:t>
      </w:r>
      <w:r w:rsidR="001268F4">
        <w:rPr>
          <w:rFonts w:ascii="Times New Roman" w:hAnsi="Times New Roman" w:cs="Times New Roman"/>
          <w:sz w:val="24"/>
          <w:szCs w:val="24"/>
        </w:rPr>
        <w:t xml:space="preserve"> T</w:t>
      </w:r>
      <w:r w:rsidR="006D098A">
        <w:rPr>
          <w:rFonts w:ascii="Times New Roman" w:hAnsi="Times New Roman" w:cs="Times New Roman"/>
          <w:sz w:val="24"/>
          <w:szCs w:val="24"/>
        </w:rPr>
        <w:t>he P</w:t>
      </w:r>
      <w:r w:rsidR="006D098A" w:rsidRPr="00A710BF">
        <w:rPr>
          <w:rFonts w:ascii="Times New Roman" w:hAnsi="Times New Roman" w:cs="Times New Roman"/>
          <w:sz w:val="24"/>
          <w:szCs w:val="24"/>
        </w:rPr>
        <w:t xml:space="preserve">roposal would </w:t>
      </w:r>
      <w:r w:rsidR="001268F4">
        <w:rPr>
          <w:rFonts w:ascii="Times New Roman" w:hAnsi="Times New Roman" w:cs="Times New Roman"/>
          <w:sz w:val="24"/>
          <w:szCs w:val="24"/>
        </w:rPr>
        <w:t xml:space="preserve">add a </w:t>
      </w:r>
      <w:r w:rsidR="006D098A" w:rsidRPr="00A710BF">
        <w:rPr>
          <w:rFonts w:ascii="Times New Roman" w:hAnsi="Times New Roman" w:cs="Times New Roman"/>
          <w:sz w:val="24"/>
          <w:szCs w:val="24"/>
        </w:rPr>
        <w:t xml:space="preserve">layer </w:t>
      </w:r>
      <w:r w:rsidR="001268F4">
        <w:rPr>
          <w:rFonts w:ascii="Times New Roman" w:hAnsi="Times New Roman" w:cs="Times New Roman"/>
          <w:sz w:val="24"/>
          <w:szCs w:val="24"/>
        </w:rPr>
        <w:t xml:space="preserve">of </w:t>
      </w:r>
      <w:r w:rsidR="006D098A" w:rsidRPr="00A710BF">
        <w:rPr>
          <w:rFonts w:ascii="Times New Roman" w:hAnsi="Times New Roman" w:cs="Times New Roman"/>
          <w:sz w:val="24"/>
          <w:szCs w:val="24"/>
        </w:rPr>
        <w:t xml:space="preserve">rigid, prescriptive requirements over an existing federal and self-regulatory framework that favors a </w:t>
      </w:r>
      <w:r w:rsidR="00715C45">
        <w:rPr>
          <w:rFonts w:ascii="Times New Roman" w:hAnsi="Times New Roman" w:cs="Times New Roman"/>
          <w:sz w:val="24"/>
          <w:szCs w:val="24"/>
        </w:rPr>
        <w:t>flexible</w:t>
      </w:r>
      <w:r w:rsidR="006D098A" w:rsidRPr="00A710BF">
        <w:rPr>
          <w:rFonts w:ascii="Times New Roman" w:hAnsi="Times New Roman" w:cs="Times New Roman"/>
          <w:sz w:val="24"/>
          <w:szCs w:val="24"/>
        </w:rPr>
        <w:t xml:space="preserve"> and innovative approach capable of quick adjustment</w:t>
      </w:r>
      <w:r w:rsidR="00715C45">
        <w:rPr>
          <w:rFonts w:ascii="Times New Roman" w:hAnsi="Times New Roman" w:cs="Times New Roman"/>
          <w:sz w:val="24"/>
          <w:szCs w:val="24"/>
        </w:rPr>
        <w:t>s</w:t>
      </w:r>
      <w:r w:rsidR="006D098A" w:rsidRPr="00A710BF">
        <w:rPr>
          <w:rFonts w:ascii="Times New Roman" w:hAnsi="Times New Roman" w:cs="Times New Roman"/>
          <w:sz w:val="24"/>
          <w:szCs w:val="24"/>
        </w:rPr>
        <w:t xml:space="preserve"> to meet evolving cybersecurity threats. </w:t>
      </w:r>
      <w:r w:rsidR="006D098A">
        <w:rPr>
          <w:rFonts w:ascii="Times New Roman" w:hAnsi="Times New Roman" w:cs="Times New Roman"/>
          <w:sz w:val="24"/>
          <w:szCs w:val="24"/>
        </w:rPr>
        <w:t xml:space="preserve">The NIST Framework, for example, </w:t>
      </w:r>
      <w:r w:rsidR="0035467E">
        <w:rPr>
          <w:rFonts w:ascii="Times New Roman" w:hAnsi="Times New Roman" w:cs="Times New Roman"/>
          <w:sz w:val="24"/>
          <w:szCs w:val="24"/>
        </w:rPr>
        <w:t xml:space="preserve">has been successful largely because it provides </w:t>
      </w:r>
      <w:r w:rsidR="001268F4">
        <w:rPr>
          <w:rFonts w:ascii="Times New Roman" w:hAnsi="Times New Roman" w:cs="Times New Roman"/>
          <w:sz w:val="24"/>
          <w:szCs w:val="24"/>
        </w:rPr>
        <w:t xml:space="preserve">private sector entities with </w:t>
      </w:r>
      <w:r w:rsidR="0035467E" w:rsidRPr="0035467E">
        <w:rPr>
          <w:rFonts w:ascii="Times New Roman" w:hAnsi="Times New Roman" w:cs="Times New Roman"/>
          <w:sz w:val="24"/>
          <w:szCs w:val="24"/>
        </w:rPr>
        <w:t xml:space="preserve">a </w:t>
      </w:r>
      <w:r w:rsidR="0035467E">
        <w:rPr>
          <w:rFonts w:ascii="Times New Roman" w:hAnsi="Times New Roman" w:cs="Times New Roman"/>
          <w:sz w:val="24"/>
          <w:szCs w:val="24"/>
        </w:rPr>
        <w:t xml:space="preserve">flexible </w:t>
      </w:r>
      <w:r w:rsidR="001D6CD5">
        <w:rPr>
          <w:rFonts w:ascii="Times New Roman" w:hAnsi="Times New Roman" w:cs="Times New Roman"/>
          <w:sz w:val="24"/>
          <w:szCs w:val="24"/>
        </w:rPr>
        <w:t xml:space="preserve">framework </w:t>
      </w:r>
      <w:r w:rsidR="0035467E" w:rsidRPr="0035467E">
        <w:rPr>
          <w:rFonts w:ascii="Times New Roman" w:hAnsi="Times New Roman" w:cs="Times New Roman"/>
          <w:sz w:val="24"/>
          <w:szCs w:val="24"/>
        </w:rPr>
        <w:t>for managing a</w:t>
      </w:r>
      <w:r w:rsidR="0035467E">
        <w:rPr>
          <w:rFonts w:ascii="Times New Roman" w:hAnsi="Times New Roman" w:cs="Times New Roman"/>
          <w:sz w:val="24"/>
          <w:szCs w:val="24"/>
        </w:rPr>
        <w:t>nd reducing cybersecurity risks</w:t>
      </w:r>
      <w:r w:rsidR="001D6CD5">
        <w:rPr>
          <w:rFonts w:ascii="Times New Roman" w:hAnsi="Times New Roman" w:cs="Times New Roman"/>
          <w:sz w:val="24"/>
          <w:szCs w:val="24"/>
        </w:rPr>
        <w:t>,</w:t>
      </w:r>
      <w:r w:rsidR="007E36CC">
        <w:rPr>
          <w:rFonts w:ascii="Times New Roman" w:hAnsi="Times New Roman" w:cs="Times New Roman"/>
          <w:sz w:val="24"/>
          <w:szCs w:val="24"/>
        </w:rPr>
        <w:t xml:space="preserve"> and offers a common vocabulary and approach that is applicable within the financial sector and across various industries.</w:t>
      </w:r>
      <w:r w:rsidR="001D6CD5">
        <w:rPr>
          <w:rFonts w:ascii="Times New Roman" w:hAnsi="Times New Roman" w:cs="Times New Roman"/>
          <w:sz w:val="24"/>
          <w:szCs w:val="24"/>
        </w:rPr>
        <w:t xml:space="preserve"> </w:t>
      </w:r>
      <w:r w:rsidR="006D098A" w:rsidRPr="00A710BF">
        <w:rPr>
          <w:rFonts w:ascii="Times New Roman" w:hAnsi="Times New Roman" w:cs="Times New Roman"/>
          <w:sz w:val="24"/>
          <w:szCs w:val="24"/>
        </w:rPr>
        <w:t xml:space="preserve">A prescriptive approach to compliance, however, </w:t>
      </w:r>
      <w:r w:rsidR="001D6CD5">
        <w:rPr>
          <w:rFonts w:ascii="Times New Roman" w:hAnsi="Times New Roman" w:cs="Times New Roman"/>
          <w:sz w:val="24"/>
          <w:szCs w:val="24"/>
        </w:rPr>
        <w:t xml:space="preserve">as proposed by the Department, </w:t>
      </w:r>
      <w:r w:rsidR="00715C45">
        <w:rPr>
          <w:rFonts w:ascii="Times New Roman" w:hAnsi="Times New Roman" w:cs="Times New Roman"/>
          <w:sz w:val="24"/>
          <w:szCs w:val="24"/>
        </w:rPr>
        <w:t>will encourage</w:t>
      </w:r>
      <w:r w:rsidR="006D098A" w:rsidRPr="00A710BF">
        <w:rPr>
          <w:rFonts w:ascii="Times New Roman" w:hAnsi="Times New Roman" w:cs="Times New Roman"/>
          <w:sz w:val="24"/>
          <w:szCs w:val="24"/>
        </w:rPr>
        <w:t xml:space="preserve"> </w:t>
      </w:r>
      <w:r w:rsidR="00715C45">
        <w:rPr>
          <w:rFonts w:ascii="Times New Roman" w:hAnsi="Times New Roman" w:cs="Times New Roman"/>
          <w:sz w:val="24"/>
          <w:szCs w:val="24"/>
        </w:rPr>
        <w:t>industry</w:t>
      </w:r>
      <w:r w:rsidR="006D098A" w:rsidRPr="00A710BF">
        <w:rPr>
          <w:rFonts w:ascii="Times New Roman" w:hAnsi="Times New Roman" w:cs="Times New Roman"/>
          <w:sz w:val="24"/>
          <w:szCs w:val="24"/>
        </w:rPr>
        <w:t xml:space="preserve"> to </w:t>
      </w:r>
      <w:r w:rsidR="00715C45">
        <w:rPr>
          <w:rFonts w:ascii="Times New Roman" w:hAnsi="Times New Roman" w:cs="Times New Roman"/>
          <w:sz w:val="24"/>
          <w:szCs w:val="24"/>
        </w:rPr>
        <w:t>focus compliance on meeting</w:t>
      </w:r>
      <w:r w:rsidR="006D098A" w:rsidRPr="00A710BF">
        <w:rPr>
          <w:rFonts w:ascii="Times New Roman" w:hAnsi="Times New Roman" w:cs="Times New Roman"/>
          <w:sz w:val="24"/>
          <w:szCs w:val="24"/>
        </w:rPr>
        <w:t xml:space="preserve"> the regulat</w:t>
      </w:r>
      <w:r w:rsidR="00715C45">
        <w:rPr>
          <w:rFonts w:ascii="Times New Roman" w:hAnsi="Times New Roman" w:cs="Times New Roman"/>
          <w:sz w:val="24"/>
          <w:szCs w:val="24"/>
        </w:rPr>
        <w:t xml:space="preserve">ory standards </w:t>
      </w:r>
      <w:r w:rsidR="006D098A" w:rsidRPr="00A710BF">
        <w:rPr>
          <w:rFonts w:ascii="Times New Roman" w:hAnsi="Times New Roman" w:cs="Times New Roman"/>
          <w:sz w:val="24"/>
          <w:szCs w:val="24"/>
        </w:rPr>
        <w:t>instead of risk</w:t>
      </w:r>
      <w:r w:rsidR="00715C45">
        <w:rPr>
          <w:rFonts w:ascii="Times New Roman" w:hAnsi="Times New Roman" w:cs="Times New Roman"/>
          <w:sz w:val="24"/>
          <w:szCs w:val="24"/>
        </w:rPr>
        <w:t xml:space="preserve"> presented</w:t>
      </w:r>
      <w:r w:rsidR="006D098A" w:rsidRPr="00A710BF">
        <w:rPr>
          <w:rFonts w:ascii="Times New Roman" w:hAnsi="Times New Roman" w:cs="Times New Roman"/>
          <w:sz w:val="24"/>
          <w:szCs w:val="24"/>
        </w:rPr>
        <w:t xml:space="preserve">, resulting in a mechanical, rather than dynamic, compliance framework. </w:t>
      </w:r>
    </w:p>
    <w:p w:rsidR="00727069" w:rsidRPr="00A710BF" w:rsidRDefault="00727069" w:rsidP="00CA3883">
      <w:pPr>
        <w:spacing w:after="240" w:line="240" w:lineRule="auto"/>
        <w:jc w:val="center"/>
        <w:rPr>
          <w:rFonts w:ascii="Times New Roman" w:hAnsi="Times New Roman" w:cs="Times New Roman"/>
          <w:b/>
          <w:caps/>
          <w:sz w:val="24"/>
          <w:szCs w:val="24"/>
        </w:rPr>
      </w:pPr>
      <w:r w:rsidRPr="00A710BF">
        <w:rPr>
          <w:rFonts w:ascii="Times New Roman" w:hAnsi="Times New Roman" w:cs="Times New Roman"/>
          <w:b/>
          <w:caps/>
          <w:sz w:val="24"/>
          <w:szCs w:val="24"/>
        </w:rPr>
        <w:t xml:space="preserve">Specific Comments </w:t>
      </w:r>
      <w:r w:rsidR="00B44749" w:rsidRPr="00A710BF">
        <w:rPr>
          <w:rFonts w:ascii="Times New Roman" w:hAnsi="Times New Roman" w:cs="Times New Roman"/>
          <w:b/>
          <w:caps/>
          <w:sz w:val="24"/>
          <w:szCs w:val="24"/>
        </w:rPr>
        <w:t xml:space="preserve">on the </w:t>
      </w:r>
      <w:r w:rsidRPr="00A710BF">
        <w:rPr>
          <w:rFonts w:ascii="Times New Roman" w:hAnsi="Times New Roman" w:cs="Times New Roman"/>
          <w:b/>
          <w:caps/>
          <w:sz w:val="24"/>
          <w:szCs w:val="24"/>
        </w:rPr>
        <w:t xml:space="preserve">Proposed </w:t>
      </w:r>
      <w:r w:rsidR="00B44749" w:rsidRPr="00A710BF">
        <w:rPr>
          <w:rFonts w:ascii="Times New Roman" w:hAnsi="Times New Roman" w:cs="Times New Roman"/>
          <w:b/>
          <w:caps/>
          <w:sz w:val="24"/>
          <w:szCs w:val="24"/>
        </w:rPr>
        <w:t>cybersecurity rule</w:t>
      </w:r>
    </w:p>
    <w:p w:rsidR="00727069" w:rsidRPr="00A710BF" w:rsidRDefault="00B44749" w:rsidP="005521D7">
      <w:pPr>
        <w:spacing w:after="240" w:line="240" w:lineRule="auto"/>
        <w:jc w:val="both"/>
        <w:rPr>
          <w:rFonts w:ascii="Times New Roman" w:hAnsi="Times New Roman" w:cs="Times New Roman"/>
          <w:sz w:val="24"/>
          <w:szCs w:val="24"/>
        </w:rPr>
      </w:pPr>
      <w:r w:rsidRPr="00A710BF">
        <w:rPr>
          <w:rFonts w:ascii="Times New Roman" w:hAnsi="Times New Roman" w:cs="Times New Roman"/>
          <w:sz w:val="24"/>
          <w:szCs w:val="24"/>
        </w:rPr>
        <w:t xml:space="preserve">In the event the Department moves forward with its </w:t>
      </w:r>
      <w:r w:rsidR="006D098A">
        <w:rPr>
          <w:rFonts w:ascii="Times New Roman" w:hAnsi="Times New Roman" w:cs="Times New Roman"/>
          <w:sz w:val="24"/>
          <w:szCs w:val="24"/>
        </w:rPr>
        <w:t>P</w:t>
      </w:r>
      <w:r w:rsidRPr="00A710BF">
        <w:rPr>
          <w:rFonts w:ascii="Times New Roman" w:hAnsi="Times New Roman" w:cs="Times New Roman"/>
          <w:sz w:val="24"/>
          <w:szCs w:val="24"/>
        </w:rPr>
        <w:t>roposal, ETA encourages the Department to consider the following specific comments to the regulations in 23 NYCRR 500:</w:t>
      </w:r>
    </w:p>
    <w:p w:rsidR="00362A4D" w:rsidRPr="00BD6B42" w:rsidRDefault="004215D2" w:rsidP="00942132">
      <w:pPr>
        <w:pStyle w:val="ListParagraph"/>
        <w:numPr>
          <w:ilvl w:val="0"/>
          <w:numId w:val="10"/>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definition of “Covered Entity” in 500.01(c) is overly broad and would subject </w:t>
      </w:r>
      <w:r w:rsidR="00362A4D" w:rsidRPr="00362A4D">
        <w:rPr>
          <w:rFonts w:ascii="Times New Roman" w:hAnsi="Times New Roman" w:cs="Times New Roman"/>
          <w:sz w:val="24"/>
          <w:szCs w:val="24"/>
        </w:rPr>
        <w:t xml:space="preserve">affiliated companies </w:t>
      </w:r>
      <w:r>
        <w:rPr>
          <w:rFonts w:ascii="Times New Roman" w:hAnsi="Times New Roman" w:cs="Times New Roman"/>
          <w:sz w:val="24"/>
          <w:szCs w:val="24"/>
        </w:rPr>
        <w:t>that</w:t>
      </w:r>
      <w:r w:rsidR="00362A4D" w:rsidRPr="00362A4D">
        <w:rPr>
          <w:rFonts w:ascii="Times New Roman" w:hAnsi="Times New Roman" w:cs="Times New Roman"/>
          <w:sz w:val="24"/>
          <w:szCs w:val="24"/>
        </w:rPr>
        <w:t xml:space="preserve"> are not otherwise under the purview of </w:t>
      </w:r>
      <w:r>
        <w:rPr>
          <w:rFonts w:ascii="Times New Roman" w:hAnsi="Times New Roman" w:cs="Times New Roman"/>
          <w:sz w:val="24"/>
          <w:szCs w:val="24"/>
        </w:rPr>
        <w:t>the Department</w:t>
      </w:r>
      <w:r w:rsidR="00362A4D" w:rsidRPr="00362A4D">
        <w:rPr>
          <w:rFonts w:ascii="Times New Roman" w:hAnsi="Times New Roman" w:cs="Times New Roman"/>
          <w:sz w:val="24"/>
          <w:szCs w:val="24"/>
        </w:rPr>
        <w:t xml:space="preserve"> to potential liability</w:t>
      </w:r>
      <w:r>
        <w:rPr>
          <w:rFonts w:ascii="Times New Roman" w:hAnsi="Times New Roman" w:cs="Times New Roman"/>
          <w:sz w:val="24"/>
          <w:szCs w:val="24"/>
        </w:rPr>
        <w:t xml:space="preserve"> for failing to comply with the regulations. </w:t>
      </w:r>
      <w:r w:rsidR="00942132" w:rsidRPr="00942132">
        <w:rPr>
          <w:rFonts w:ascii="Times New Roman" w:hAnsi="Times New Roman" w:cs="Times New Roman"/>
          <w:sz w:val="24"/>
          <w:szCs w:val="24"/>
        </w:rPr>
        <w:t xml:space="preserve">In addition, the regulations should not apply to organizations that are not the large-scale financial institutions, such as money transmitters, captive insurance companies, sales finance companies and service contract providers. </w:t>
      </w:r>
    </w:p>
    <w:p w:rsidR="00727069" w:rsidRPr="00A710BF" w:rsidRDefault="00382EAE"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The definition of “</w:t>
      </w:r>
      <w:r w:rsidR="0060717F">
        <w:rPr>
          <w:rFonts w:ascii="Times New Roman" w:hAnsi="Times New Roman" w:cs="Times New Roman"/>
          <w:sz w:val="24"/>
          <w:szCs w:val="24"/>
        </w:rPr>
        <w:t>C</w:t>
      </w:r>
      <w:r w:rsidRPr="00A710BF">
        <w:rPr>
          <w:rFonts w:ascii="Times New Roman" w:hAnsi="Times New Roman" w:cs="Times New Roman"/>
          <w:sz w:val="24"/>
          <w:szCs w:val="24"/>
        </w:rPr>
        <w:t xml:space="preserve">ybersecurity </w:t>
      </w:r>
      <w:r w:rsidR="0060717F">
        <w:rPr>
          <w:rFonts w:ascii="Times New Roman" w:hAnsi="Times New Roman" w:cs="Times New Roman"/>
          <w:sz w:val="24"/>
          <w:szCs w:val="24"/>
        </w:rPr>
        <w:t>E</w:t>
      </w:r>
      <w:r w:rsidRPr="00A710BF">
        <w:rPr>
          <w:rFonts w:ascii="Times New Roman" w:hAnsi="Times New Roman" w:cs="Times New Roman"/>
          <w:sz w:val="24"/>
          <w:szCs w:val="24"/>
        </w:rPr>
        <w:t>vent” is overly broad and would cover minor events and those successfully addres</w:t>
      </w:r>
      <w:r w:rsidR="00B24BA8">
        <w:rPr>
          <w:rFonts w:ascii="Times New Roman" w:hAnsi="Times New Roman" w:cs="Times New Roman"/>
          <w:sz w:val="24"/>
          <w:szCs w:val="24"/>
        </w:rPr>
        <w:t>sed by a financial institution.</w:t>
      </w:r>
      <w:r w:rsidRPr="00A710BF">
        <w:rPr>
          <w:rFonts w:ascii="Times New Roman" w:hAnsi="Times New Roman" w:cs="Times New Roman"/>
          <w:sz w:val="24"/>
          <w:szCs w:val="24"/>
        </w:rPr>
        <w:t xml:space="preserve"> </w:t>
      </w:r>
      <w:r w:rsidR="00727069" w:rsidRPr="00A710BF">
        <w:rPr>
          <w:rFonts w:ascii="Times New Roman" w:hAnsi="Times New Roman" w:cs="Times New Roman"/>
          <w:sz w:val="24"/>
          <w:szCs w:val="24"/>
        </w:rPr>
        <w:t xml:space="preserve">Section 500.01(d) should be changed as follows: </w:t>
      </w:r>
      <w:r w:rsidR="00727069" w:rsidRPr="00A710BF">
        <w:rPr>
          <w:rFonts w:ascii="Times New Roman" w:hAnsi="Times New Roman" w:cs="Times New Roman"/>
          <w:i/>
          <w:sz w:val="24"/>
          <w:szCs w:val="24"/>
        </w:rPr>
        <w:t xml:space="preserve">Cybersecurity Event </w:t>
      </w:r>
      <w:r w:rsidR="00727069" w:rsidRPr="00A710BF">
        <w:rPr>
          <w:rFonts w:ascii="Times New Roman" w:hAnsi="Times New Roman" w:cs="Times New Roman"/>
          <w:sz w:val="24"/>
          <w:szCs w:val="24"/>
        </w:rPr>
        <w:t xml:space="preserve">means any </w:t>
      </w:r>
      <w:r w:rsidR="00727069" w:rsidRPr="00A710BF">
        <w:rPr>
          <w:rFonts w:ascii="Times New Roman" w:hAnsi="Times New Roman" w:cs="Times New Roman"/>
          <w:sz w:val="24"/>
          <w:szCs w:val="24"/>
          <w:u w:val="single"/>
        </w:rPr>
        <w:t>confirmed</w:t>
      </w:r>
      <w:r w:rsidR="00727069" w:rsidRPr="00A710BF">
        <w:rPr>
          <w:rFonts w:ascii="Times New Roman" w:hAnsi="Times New Roman" w:cs="Times New Roman"/>
          <w:sz w:val="24"/>
          <w:szCs w:val="24"/>
        </w:rPr>
        <w:t xml:space="preserve"> </w:t>
      </w:r>
      <w:r w:rsidR="00727069" w:rsidRPr="00A710BF">
        <w:rPr>
          <w:rFonts w:ascii="Times New Roman" w:hAnsi="Times New Roman" w:cs="Times New Roman"/>
          <w:sz w:val="24"/>
          <w:szCs w:val="24"/>
          <w:u w:val="single"/>
        </w:rPr>
        <w:t>material</w:t>
      </w:r>
      <w:r w:rsidR="00727069" w:rsidRPr="00A710BF">
        <w:rPr>
          <w:rFonts w:ascii="Times New Roman" w:hAnsi="Times New Roman" w:cs="Times New Roman"/>
          <w:color w:val="FF0000"/>
          <w:sz w:val="24"/>
          <w:szCs w:val="24"/>
        </w:rPr>
        <w:t xml:space="preserve"> </w:t>
      </w:r>
      <w:r w:rsidR="00727069" w:rsidRPr="00A710BF">
        <w:rPr>
          <w:rFonts w:ascii="Times New Roman" w:hAnsi="Times New Roman" w:cs="Times New Roman"/>
          <w:sz w:val="24"/>
          <w:szCs w:val="24"/>
        </w:rPr>
        <w:t xml:space="preserve">act </w:t>
      </w:r>
      <w:r w:rsidR="00727069" w:rsidRPr="00A710BF">
        <w:rPr>
          <w:rFonts w:ascii="Times New Roman" w:hAnsi="Times New Roman" w:cs="Times New Roman"/>
          <w:strike/>
          <w:sz w:val="24"/>
          <w:szCs w:val="24"/>
        </w:rPr>
        <w:t xml:space="preserve">or attempt, successful or unsuccessful, </w:t>
      </w:r>
      <w:r w:rsidR="00727069" w:rsidRPr="00A710BF">
        <w:rPr>
          <w:rFonts w:ascii="Times New Roman" w:hAnsi="Times New Roman" w:cs="Times New Roman"/>
          <w:sz w:val="24"/>
          <w:szCs w:val="24"/>
        </w:rPr>
        <w:t>to gain unauthorized access to, disrupt or misuse an Information System or information stored on such Information System.</w:t>
      </w:r>
      <w:r w:rsidR="00727069" w:rsidRPr="00A710BF">
        <w:rPr>
          <w:rFonts w:ascii="Times New Roman" w:hAnsi="Times New Roman" w:cs="Times New Roman"/>
          <w:i/>
          <w:sz w:val="24"/>
          <w:szCs w:val="24"/>
        </w:rPr>
        <w:t xml:space="preserve"> </w:t>
      </w:r>
    </w:p>
    <w:p w:rsidR="00382EAE" w:rsidRPr="0060717F" w:rsidRDefault="00727069" w:rsidP="0060717F">
      <w:pPr>
        <w:pStyle w:val="ListParagraph"/>
        <w:numPr>
          <w:ilvl w:val="0"/>
          <w:numId w:val="11"/>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Not only would it be impossible for a licensee to identify all unsuccessful attempts to access systems, there should be a materiality threshold so that licensees and the D</w:t>
      </w:r>
      <w:r w:rsidR="0060717F">
        <w:rPr>
          <w:rFonts w:ascii="Times New Roman" w:hAnsi="Times New Roman" w:cs="Times New Roman"/>
          <w:sz w:val="24"/>
          <w:szCs w:val="24"/>
        </w:rPr>
        <w:t>epartment</w:t>
      </w:r>
      <w:r w:rsidRPr="00A710BF">
        <w:rPr>
          <w:rFonts w:ascii="Times New Roman" w:hAnsi="Times New Roman" w:cs="Times New Roman"/>
          <w:sz w:val="24"/>
          <w:szCs w:val="24"/>
        </w:rPr>
        <w:t xml:space="preserve"> can dedicate resources to activities that may actually result in loss of customer information or harm to necessary systems. </w:t>
      </w:r>
      <w:r w:rsidR="00382EAE" w:rsidRPr="0060717F">
        <w:rPr>
          <w:rFonts w:ascii="Times New Roman" w:hAnsi="Times New Roman" w:cs="Times New Roman"/>
          <w:sz w:val="24"/>
          <w:szCs w:val="24"/>
        </w:rPr>
        <w:t xml:space="preserve">Otherwise, the Cybersecurity Rule would require financial institutions to notify the </w:t>
      </w:r>
      <w:r w:rsidR="0035467E" w:rsidRPr="0060717F">
        <w:rPr>
          <w:rFonts w:ascii="Times New Roman" w:hAnsi="Times New Roman" w:cs="Times New Roman"/>
          <w:sz w:val="24"/>
          <w:szCs w:val="24"/>
        </w:rPr>
        <w:t>Department</w:t>
      </w:r>
      <w:r w:rsidR="00382EAE" w:rsidRPr="0060717F">
        <w:rPr>
          <w:rFonts w:ascii="Times New Roman" w:hAnsi="Times New Roman" w:cs="Times New Roman"/>
          <w:sz w:val="24"/>
          <w:szCs w:val="24"/>
        </w:rPr>
        <w:t xml:space="preserve"> of even the most trivial events involving data that does not present a risk to consumers. This approach would force covered entities to expend significant resources on notification instead of other, more useful compliance efforts, and would force the </w:t>
      </w:r>
      <w:r w:rsidR="0035467E" w:rsidRPr="0060717F">
        <w:rPr>
          <w:rFonts w:ascii="Times New Roman" w:hAnsi="Times New Roman" w:cs="Times New Roman"/>
          <w:sz w:val="24"/>
          <w:szCs w:val="24"/>
        </w:rPr>
        <w:t>Department</w:t>
      </w:r>
      <w:r w:rsidR="00382EAE" w:rsidRPr="0060717F">
        <w:rPr>
          <w:rFonts w:ascii="Times New Roman" w:hAnsi="Times New Roman" w:cs="Times New Roman"/>
          <w:sz w:val="24"/>
          <w:szCs w:val="24"/>
        </w:rPr>
        <w:t xml:space="preserve"> to expend its limited resources reviewing notifications.  </w:t>
      </w:r>
    </w:p>
    <w:p w:rsidR="00382EAE" w:rsidRPr="00A710BF" w:rsidRDefault="00382EAE"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The definition of Nonpublic </w:t>
      </w:r>
      <w:r w:rsidR="00B24BA8" w:rsidRPr="00A710BF">
        <w:rPr>
          <w:rFonts w:ascii="Times New Roman" w:hAnsi="Times New Roman" w:cs="Times New Roman"/>
          <w:sz w:val="24"/>
          <w:szCs w:val="24"/>
        </w:rPr>
        <w:t>Information</w:t>
      </w:r>
      <w:r w:rsidRPr="00A710BF">
        <w:rPr>
          <w:rFonts w:ascii="Times New Roman" w:hAnsi="Times New Roman" w:cs="Times New Roman"/>
          <w:sz w:val="24"/>
          <w:szCs w:val="24"/>
        </w:rPr>
        <w:t xml:space="preserve"> (“NPI”) is overly broad and would capture data that does not present a risk to consumers if compromised. </w:t>
      </w:r>
      <w:r w:rsidR="00727069" w:rsidRPr="00A710BF">
        <w:rPr>
          <w:rFonts w:ascii="Times New Roman" w:hAnsi="Times New Roman" w:cs="Times New Roman"/>
          <w:sz w:val="24"/>
          <w:szCs w:val="24"/>
        </w:rPr>
        <w:t xml:space="preserve">Section 500.01(g) should be changed by deleting section (4) from the definition of </w:t>
      </w:r>
      <w:r w:rsidR="0060717F">
        <w:rPr>
          <w:rFonts w:ascii="Times New Roman" w:hAnsi="Times New Roman" w:cs="Times New Roman"/>
          <w:sz w:val="24"/>
          <w:szCs w:val="24"/>
        </w:rPr>
        <w:t>NPI</w:t>
      </w:r>
      <w:r w:rsidR="00727069" w:rsidRPr="00A710BF">
        <w:rPr>
          <w:rFonts w:ascii="Times New Roman" w:hAnsi="Times New Roman" w:cs="Times New Roman"/>
          <w:sz w:val="24"/>
          <w:szCs w:val="24"/>
        </w:rPr>
        <w:t>.</w:t>
      </w:r>
    </w:p>
    <w:p w:rsidR="00382EAE" w:rsidRPr="00A710BF" w:rsidRDefault="00382EAE" w:rsidP="005521D7">
      <w:pPr>
        <w:pStyle w:val="ListParagraph"/>
        <w:numPr>
          <w:ilvl w:val="0"/>
          <w:numId w:val="12"/>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T</w:t>
      </w:r>
      <w:r w:rsidR="00727069" w:rsidRPr="00A710BF">
        <w:rPr>
          <w:rFonts w:ascii="Times New Roman" w:hAnsi="Times New Roman" w:cs="Times New Roman"/>
          <w:sz w:val="24"/>
          <w:szCs w:val="24"/>
        </w:rPr>
        <w:t>he definition is broader than the GLBA</w:t>
      </w:r>
      <w:r w:rsidRPr="00A710BF">
        <w:rPr>
          <w:rFonts w:ascii="Times New Roman" w:hAnsi="Times New Roman" w:cs="Times New Roman"/>
          <w:sz w:val="24"/>
          <w:szCs w:val="24"/>
        </w:rPr>
        <w:t xml:space="preserve">. </w:t>
      </w:r>
      <w:r w:rsidR="00727069" w:rsidRPr="00A710BF">
        <w:rPr>
          <w:rFonts w:ascii="Times New Roman" w:hAnsi="Times New Roman" w:cs="Times New Roman"/>
          <w:sz w:val="24"/>
          <w:szCs w:val="24"/>
        </w:rPr>
        <w:t xml:space="preserve">The definition should track existing federal legislation to reduce burdens on industry. </w:t>
      </w:r>
    </w:p>
    <w:p w:rsidR="00382EAE" w:rsidRPr="00A710BF" w:rsidRDefault="00727069" w:rsidP="005521D7">
      <w:pPr>
        <w:pStyle w:val="ListParagraph"/>
        <w:numPr>
          <w:ilvl w:val="0"/>
          <w:numId w:val="12"/>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As currently drafted, 500.01(g)(4) includes information that “is linkable” even if not currentl</w:t>
      </w:r>
      <w:r w:rsidR="0035467E">
        <w:rPr>
          <w:rFonts w:ascii="Times New Roman" w:hAnsi="Times New Roman" w:cs="Times New Roman"/>
          <w:sz w:val="24"/>
          <w:szCs w:val="24"/>
        </w:rPr>
        <w:t xml:space="preserve">y used to identify a customer. </w:t>
      </w:r>
      <w:r w:rsidRPr="00A710BF">
        <w:rPr>
          <w:rFonts w:ascii="Times New Roman" w:hAnsi="Times New Roman" w:cs="Times New Roman"/>
          <w:sz w:val="24"/>
          <w:szCs w:val="24"/>
        </w:rPr>
        <w:t>Without limiting the definition to information that is already linked to a customer, any information collected or tracked by a licensee could potentially be included in the definition. Moreover, the inclusion of “information about an individual used for marketing purposes” should be stricken because it could potentially include information created by a licensee based on th</w:t>
      </w:r>
      <w:r w:rsidR="00382EAE" w:rsidRPr="00A710BF">
        <w:rPr>
          <w:rFonts w:ascii="Times New Roman" w:hAnsi="Times New Roman" w:cs="Times New Roman"/>
          <w:sz w:val="24"/>
          <w:szCs w:val="24"/>
        </w:rPr>
        <w:t>at customer’s use of the site.</w:t>
      </w:r>
      <w:r w:rsidRPr="00A710BF">
        <w:rPr>
          <w:rFonts w:ascii="Times New Roman" w:hAnsi="Times New Roman" w:cs="Times New Roman"/>
          <w:sz w:val="24"/>
          <w:szCs w:val="24"/>
        </w:rPr>
        <w:t xml:space="preserve"> Such information would be information that a licensee creates about an individual that is of no use or benefit outside of the licensee’s internal systems. </w:t>
      </w:r>
    </w:p>
    <w:p w:rsidR="00727069" w:rsidRPr="00A710BF" w:rsidRDefault="00727069" w:rsidP="005521D7">
      <w:pPr>
        <w:pStyle w:val="ListParagraph"/>
        <w:numPr>
          <w:ilvl w:val="0"/>
          <w:numId w:val="12"/>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lastRenderedPageBreak/>
        <w:t xml:space="preserve">This definition is important particularly because of Section 500.15, which requires all </w:t>
      </w:r>
      <w:r w:rsidR="00706CAE">
        <w:rPr>
          <w:rFonts w:ascii="Times New Roman" w:hAnsi="Times New Roman" w:cs="Times New Roman"/>
          <w:sz w:val="24"/>
          <w:szCs w:val="24"/>
        </w:rPr>
        <w:t>NPI</w:t>
      </w:r>
      <w:r w:rsidRPr="00A710BF">
        <w:rPr>
          <w:rFonts w:ascii="Times New Roman" w:hAnsi="Times New Roman" w:cs="Times New Roman"/>
          <w:sz w:val="24"/>
          <w:szCs w:val="24"/>
        </w:rPr>
        <w:t xml:space="preserve"> to be encrypte</w:t>
      </w:r>
      <w:r w:rsidR="0035467E">
        <w:rPr>
          <w:rFonts w:ascii="Times New Roman" w:hAnsi="Times New Roman" w:cs="Times New Roman"/>
          <w:sz w:val="24"/>
          <w:szCs w:val="24"/>
        </w:rPr>
        <w:t>d at rest and while in transit.</w:t>
      </w:r>
      <w:r w:rsidRPr="00A710BF">
        <w:rPr>
          <w:rFonts w:ascii="Times New Roman" w:hAnsi="Times New Roman" w:cs="Times New Roman"/>
          <w:sz w:val="24"/>
          <w:szCs w:val="24"/>
        </w:rPr>
        <w:t xml:space="preserve"> To have information that may be, but is not yet, linked to a customer encrypted at rest would impose substantial burdens </w:t>
      </w:r>
      <w:r w:rsidR="00706CAE">
        <w:rPr>
          <w:rFonts w:ascii="Times New Roman" w:hAnsi="Times New Roman" w:cs="Times New Roman"/>
          <w:sz w:val="24"/>
          <w:szCs w:val="24"/>
        </w:rPr>
        <w:t xml:space="preserve">on </w:t>
      </w:r>
      <w:r w:rsidR="0060717F">
        <w:rPr>
          <w:rFonts w:ascii="Times New Roman" w:hAnsi="Times New Roman" w:cs="Times New Roman"/>
          <w:sz w:val="24"/>
          <w:szCs w:val="24"/>
        </w:rPr>
        <w:t xml:space="preserve">licensees </w:t>
      </w:r>
      <w:r w:rsidRPr="00A710BF">
        <w:rPr>
          <w:rFonts w:ascii="Times New Roman" w:hAnsi="Times New Roman" w:cs="Times New Roman"/>
          <w:sz w:val="24"/>
          <w:szCs w:val="24"/>
        </w:rPr>
        <w:t xml:space="preserve">and reduce </w:t>
      </w:r>
      <w:r w:rsidR="0060717F">
        <w:rPr>
          <w:rFonts w:ascii="Times New Roman" w:hAnsi="Times New Roman" w:cs="Times New Roman"/>
          <w:sz w:val="24"/>
          <w:szCs w:val="24"/>
        </w:rPr>
        <w:t>incentives for licensees to</w:t>
      </w:r>
      <w:r w:rsidRPr="00A710BF">
        <w:rPr>
          <w:rFonts w:ascii="Times New Roman" w:hAnsi="Times New Roman" w:cs="Times New Roman"/>
          <w:sz w:val="24"/>
          <w:szCs w:val="24"/>
        </w:rPr>
        <w:t xml:space="preserve"> innovate using their own inte</w:t>
      </w:r>
      <w:r w:rsidR="0060717F">
        <w:rPr>
          <w:rFonts w:ascii="Times New Roman" w:hAnsi="Times New Roman" w:cs="Times New Roman"/>
          <w:sz w:val="24"/>
          <w:szCs w:val="24"/>
        </w:rPr>
        <w:t>rnal data derived from customer</w:t>
      </w:r>
      <w:r w:rsidRPr="00A710BF">
        <w:rPr>
          <w:rFonts w:ascii="Times New Roman" w:hAnsi="Times New Roman" w:cs="Times New Roman"/>
          <w:sz w:val="24"/>
          <w:szCs w:val="24"/>
        </w:rPr>
        <w:t>s without any</w:t>
      </w:r>
      <w:r w:rsidR="0060717F">
        <w:rPr>
          <w:rFonts w:ascii="Times New Roman" w:hAnsi="Times New Roman" w:cs="Times New Roman"/>
          <w:sz w:val="24"/>
          <w:szCs w:val="24"/>
        </w:rPr>
        <w:t xml:space="preserve"> reduction i</w:t>
      </w:r>
      <w:r w:rsidRPr="00A710BF">
        <w:rPr>
          <w:rFonts w:ascii="Times New Roman" w:hAnsi="Times New Roman" w:cs="Times New Roman"/>
          <w:sz w:val="24"/>
          <w:szCs w:val="24"/>
        </w:rPr>
        <w:t xml:space="preserve">n the impact of a cybersecurity breach on a customer. </w:t>
      </w:r>
      <w:r w:rsidR="00942132">
        <w:rPr>
          <w:rFonts w:ascii="Times New Roman" w:hAnsi="Times New Roman" w:cs="Times New Roman"/>
          <w:sz w:val="24"/>
          <w:szCs w:val="24"/>
        </w:rPr>
        <w:t>In addition, the expansive definitions could make it too burdensome to encrypt all such data in transit.</w:t>
      </w:r>
    </w:p>
    <w:p w:rsidR="00727069" w:rsidRPr="00A710BF" w:rsidRDefault="00727069"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Section 500.01(j) should be changed to read: “</w:t>
      </w:r>
      <w:r w:rsidRPr="00A710BF">
        <w:rPr>
          <w:rFonts w:ascii="Times New Roman" w:hAnsi="Times New Roman" w:cs="Times New Roman"/>
          <w:i/>
          <w:sz w:val="24"/>
          <w:szCs w:val="24"/>
        </w:rPr>
        <w:t xml:space="preserve">Publicly Available Information </w:t>
      </w:r>
      <w:r w:rsidRPr="00A710BF">
        <w:rPr>
          <w:rFonts w:ascii="Times New Roman" w:hAnsi="Times New Roman" w:cs="Times New Roman"/>
          <w:sz w:val="24"/>
          <w:szCs w:val="24"/>
        </w:rPr>
        <w:t>means any information that a Covered Entity has a reasonable basis to believe is lawfully made ava</w:t>
      </w:r>
      <w:r w:rsidR="0035467E">
        <w:rPr>
          <w:rFonts w:ascii="Times New Roman" w:hAnsi="Times New Roman" w:cs="Times New Roman"/>
          <w:sz w:val="24"/>
          <w:szCs w:val="24"/>
        </w:rPr>
        <w:t xml:space="preserve">ilable to the general public.” </w:t>
      </w:r>
      <w:r w:rsidRPr="00A710BF">
        <w:rPr>
          <w:rFonts w:ascii="Times New Roman" w:hAnsi="Times New Roman" w:cs="Times New Roman"/>
          <w:sz w:val="24"/>
          <w:szCs w:val="24"/>
        </w:rPr>
        <w:t xml:space="preserve">The remainder of the definition should be stricken. </w:t>
      </w:r>
    </w:p>
    <w:p w:rsidR="00727069" w:rsidRPr="00A710BF" w:rsidRDefault="00727069" w:rsidP="005521D7">
      <w:pPr>
        <w:pStyle w:val="ListParagraph"/>
        <w:numPr>
          <w:ilvl w:val="0"/>
          <w:numId w:val="13"/>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As currently drafted, licensees could be deemed to </w:t>
      </w:r>
      <w:r w:rsidR="0060717F">
        <w:rPr>
          <w:rFonts w:ascii="Times New Roman" w:hAnsi="Times New Roman" w:cs="Times New Roman"/>
          <w:sz w:val="24"/>
          <w:szCs w:val="24"/>
        </w:rPr>
        <w:t>have an obligation t</w:t>
      </w:r>
      <w:r w:rsidRPr="00A710BF">
        <w:rPr>
          <w:rFonts w:ascii="Times New Roman" w:hAnsi="Times New Roman" w:cs="Times New Roman"/>
          <w:sz w:val="24"/>
          <w:szCs w:val="24"/>
        </w:rPr>
        <w:t>o determine w</w:t>
      </w:r>
      <w:r w:rsidR="0035467E">
        <w:rPr>
          <w:rFonts w:ascii="Times New Roman" w:hAnsi="Times New Roman" w:cs="Times New Roman"/>
          <w:sz w:val="24"/>
          <w:szCs w:val="24"/>
        </w:rPr>
        <w:t xml:space="preserve">hether </w:t>
      </w:r>
      <w:r w:rsidR="0060717F" w:rsidRPr="00A710BF">
        <w:rPr>
          <w:rFonts w:ascii="Times New Roman" w:hAnsi="Times New Roman" w:cs="Times New Roman"/>
          <w:sz w:val="24"/>
          <w:szCs w:val="24"/>
        </w:rPr>
        <w:t xml:space="preserve">the source of publicly disseminated information </w:t>
      </w:r>
      <w:r w:rsidR="0035467E">
        <w:rPr>
          <w:rFonts w:ascii="Times New Roman" w:hAnsi="Times New Roman" w:cs="Times New Roman"/>
          <w:sz w:val="24"/>
          <w:szCs w:val="24"/>
        </w:rPr>
        <w:t>meets the definition.</w:t>
      </w:r>
      <w:r w:rsidRPr="00A710BF">
        <w:rPr>
          <w:rFonts w:ascii="Times New Roman" w:hAnsi="Times New Roman" w:cs="Times New Roman"/>
          <w:sz w:val="24"/>
          <w:szCs w:val="24"/>
        </w:rPr>
        <w:t xml:space="preserve"> Licensees should not have the burden of determining the source of the information, provided that information was found in the public domain, nor should licensees have the burden of determining whether a particular news source is sufficiently widely di</w:t>
      </w:r>
      <w:r w:rsidR="0035467E">
        <w:rPr>
          <w:rFonts w:ascii="Times New Roman" w:hAnsi="Times New Roman" w:cs="Times New Roman"/>
          <w:sz w:val="24"/>
          <w:szCs w:val="24"/>
        </w:rPr>
        <w:t>stributed to meet the standard.</w:t>
      </w:r>
      <w:r w:rsidRPr="00A710BF">
        <w:rPr>
          <w:rFonts w:ascii="Times New Roman" w:hAnsi="Times New Roman" w:cs="Times New Roman"/>
          <w:sz w:val="24"/>
          <w:szCs w:val="24"/>
        </w:rPr>
        <w:t xml:space="preserve"> It is impossible for licensees to know distribution of onli</w:t>
      </w:r>
      <w:r w:rsidR="0035467E">
        <w:rPr>
          <w:rFonts w:ascii="Times New Roman" w:hAnsi="Times New Roman" w:cs="Times New Roman"/>
          <w:sz w:val="24"/>
          <w:szCs w:val="24"/>
        </w:rPr>
        <w:t xml:space="preserve">ne materials and news sources. </w:t>
      </w:r>
      <w:r w:rsidRPr="00A710BF">
        <w:rPr>
          <w:rFonts w:ascii="Times New Roman" w:hAnsi="Times New Roman" w:cs="Times New Roman"/>
          <w:sz w:val="24"/>
          <w:szCs w:val="24"/>
        </w:rPr>
        <w:t xml:space="preserve">Moreover, the definition fails to include information that has been made available to the general public by the individual him or herself. </w:t>
      </w:r>
    </w:p>
    <w:p w:rsidR="00727069" w:rsidRDefault="00727069"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Section 500.04(b) should be clarified so that bi-annually </w:t>
      </w:r>
      <w:r w:rsidR="0035467E">
        <w:rPr>
          <w:rFonts w:ascii="Times New Roman" w:hAnsi="Times New Roman" w:cs="Times New Roman"/>
          <w:sz w:val="24"/>
          <w:szCs w:val="24"/>
        </w:rPr>
        <w:t xml:space="preserve">clearly means every two years. </w:t>
      </w:r>
      <w:r w:rsidRPr="00A710BF">
        <w:rPr>
          <w:rFonts w:ascii="Times New Roman" w:hAnsi="Times New Roman" w:cs="Times New Roman"/>
          <w:sz w:val="24"/>
          <w:szCs w:val="24"/>
        </w:rPr>
        <w:t xml:space="preserve">To the extent the </w:t>
      </w:r>
      <w:r w:rsidR="0060717F">
        <w:rPr>
          <w:rFonts w:ascii="Times New Roman" w:hAnsi="Times New Roman" w:cs="Times New Roman"/>
          <w:sz w:val="24"/>
          <w:szCs w:val="24"/>
        </w:rPr>
        <w:t>Department</w:t>
      </w:r>
      <w:r w:rsidRPr="00A710BF">
        <w:rPr>
          <w:rFonts w:ascii="Times New Roman" w:hAnsi="Times New Roman" w:cs="Times New Roman"/>
          <w:sz w:val="24"/>
          <w:szCs w:val="24"/>
        </w:rPr>
        <w:t xml:space="preserve"> meant twice per year, such period should be revised to be once per year or as frequent as indicated by the company’s risk assessment. Twice per year is unnecessary and out of line with other requirements for annual updates to policies and procedures. </w:t>
      </w:r>
    </w:p>
    <w:p w:rsidR="00942132" w:rsidRDefault="00942132" w:rsidP="00BD6B42">
      <w:pPr>
        <w:pStyle w:val="ListParagraph"/>
        <w:numPr>
          <w:ilvl w:val="0"/>
          <w:numId w:val="10"/>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500.05 should be modified so that companies have the flexibility to determine the frequency with which penetration testing and vulnerability assessments are conducted. Considering the broad definitions, the annual requirement for all information systems and non-public information would be too burdensome. </w:t>
      </w:r>
    </w:p>
    <w:p w:rsidR="00727069" w:rsidRPr="00A710BF" w:rsidRDefault="00727069"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Section 500.06(6) requires that records produced as part of the audit trail be retained for </w:t>
      </w:r>
      <w:r w:rsidR="00382EAE" w:rsidRPr="00A710BF">
        <w:rPr>
          <w:rFonts w:ascii="Times New Roman" w:hAnsi="Times New Roman" w:cs="Times New Roman"/>
          <w:sz w:val="24"/>
          <w:szCs w:val="24"/>
        </w:rPr>
        <w:t>six years or more. T</w:t>
      </w:r>
      <w:r w:rsidRPr="00A710BF">
        <w:rPr>
          <w:rFonts w:ascii="Times New Roman" w:hAnsi="Times New Roman" w:cs="Times New Roman"/>
          <w:sz w:val="24"/>
          <w:szCs w:val="24"/>
        </w:rPr>
        <w:t xml:space="preserve">he regulation </w:t>
      </w:r>
      <w:r w:rsidR="00382EAE" w:rsidRPr="00A710BF">
        <w:rPr>
          <w:rFonts w:ascii="Times New Roman" w:hAnsi="Times New Roman" w:cs="Times New Roman"/>
          <w:sz w:val="24"/>
          <w:szCs w:val="24"/>
        </w:rPr>
        <w:t xml:space="preserve">should </w:t>
      </w:r>
      <w:r w:rsidRPr="00A710BF">
        <w:rPr>
          <w:rFonts w:ascii="Times New Roman" w:hAnsi="Times New Roman" w:cs="Times New Roman"/>
          <w:sz w:val="24"/>
          <w:szCs w:val="24"/>
        </w:rPr>
        <w:t>clarify what documents are required to be kept with the audit trail (</w:t>
      </w:r>
      <w:r w:rsidRPr="00A710BF">
        <w:rPr>
          <w:rFonts w:ascii="Times New Roman" w:hAnsi="Times New Roman" w:cs="Times New Roman"/>
          <w:i/>
          <w:sz w:val="24"/>
          <w:szCs w:val="24"/>
        </w:rPr>
        <w:t>i.e.</w:t>
      </w:r>
      <w:r w:rsidRPr="00A710BF">
        <w:rPr>
          <w:rFonts w:ascii="Times New Roman" w:hAnsi="Times New Roman" w:cs="Times New Roman"/>
          <w:sz w:val="24"/>
          <w:szCs w:val="24"/>
        </w:rPr>
        <w:t>, whether it is the data logging of all privileged authorized user access or tracking data that allows for complete reconstruc</w:t>
      </w:r>
      <w:r w:rsidR="00A64393" w:rsidRPr="00A710BF">
        <w:rPr>
          <w:rFonts w:ascii="Times New Roman" w:hAnsi="Times New Roman" w:cs="Times New Roman"/>
          <w:sz w:val="24"/>
          <w:szCs w:val="24"/>
        </w:rPr>
        <w:t xml:space="preserve">tion of financial transactions). In addition, </w:t>
      </w:r>
      <w:r w:rsidRPr="00A710BF">
        <w:rPr>
          <w:rFonts w:ascii="Times New Roman" w:hAnsi="Times New Roman" w:cs="Times New Roman"/>
          <w:sz w:val="24"/>
          <w:szCs w:val="24"/>
        </w:rPr>
        <w:t xml:space="preserve">the retention requirement </w:t>
      </w:r>
      <w:r w:rsidR="00A64393" w:rsidRPr="00A710BF">
        <w:rPr>
          <w:rFonts w:ascii="Times New Roman" w:hAnsi="Times New Roman" w:cs="Times New Roman"/>
          <w:sz w:val="24"/>
          <w:szCs w:val="24"/>
        </w:rPr>
        <w:t xml:space="preserve">should </w:t>
      </w:r>
      <w:r w:rsidRPr="00A710BF">
        <w:rPr>
          <w:rFonts w:ascii="Times New Roman" w:hAnsi="Times New Roman" w:cs="Times New Roman"/>
          <w:sz w:val="24"/>
          <w:szCs w:val="24"/>
        </w:rPr>
        <w:t>be</w:t>
      </w:r>
      <w:r w:rsidR="007E36CC">
        <w:rPr>
          <w:rFonts w:ascii="Times New Roman" w:hAnsi="Times New Roman" w:cs="Times New Roman"/>
          <w:sz w:val="24"/>
          <w:szCs w:val="24"/>
        </w:rPr>
        <w:t xml:space="preserve"> as long as reasonably necessary, as determined by the organization, in line with the other retention requirement in the Proposal.   </w:t>
      </w:r>
      <w:r w:rsidRPr="00A710BF">
        <w:rPr>
          <w:rFonts w:ascii="Times New Roman" w:hAnsi="Times New Roman" w:cs="Times New Roman"/>
          <w:sz w:val="24"/>
          <w:szCs w:val="24"/>
        </w:rPr>
        <w:t xml:space="preserve"> </w:t>
      </w:r>
    </w:p>
    <w:p w:rsidR="00A64393" w:rsidRPr="00A710BF" w:rsidRDefault="00A64393" w:rsidP="005521D7">
      <w:pPr>
        <w:pStyle w:val="ListParagraph"/>
        <w:numPr>
          <w:ilvl w:val="0"/>
          <w:numId w:val="13"/>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lastRenderedPageBreak/>
        <w:t>The r</w:t>
      </w:r>
      <w:r w:rsidR="00727069" w:rsidRPr="00A710BF">
        <w:rPr>
          <w:rFonts w:ascii="Times New Roman" w:hAnsi="Times New Roman" w:cs="Times New Roman"/>
          <w:sz w:val="24"/>
          <w:szCs w:val="24"/>
        </w:rPr>
        <w:t xml:space="preserve">etention of documents/data that would allow for reconstruction of transactions is all that </w:t>
      </w:r>
      <w:r w:rsidRPr="00A710BF">
        <w:rPr>
          <w:rFonts w:ascii="Times New Roman" w:hAnsi="Times New Roman" w:cs="Times New Roman"/>
          <w:sz w:val="24"/>
          <w:szCs w:val="24"/>
        </w:rPr>
        <w:t>is needed</w:t>
      </w:r>
      <w:r w:rsidR="00727069" w:rsidRPr="00A710BF">
        <w:rPr>
          <w:rFonts w:ascii="Times New Roman" w:hAnsi="Times New Roman" w:cs="Times New Roman"/>
          <w:sz w:val="24"/>
          <w:szCs w:val="24"/>
        </w:rPr>
        <w:t xml:space="preserve"> for a meaningful audit.  </w:t>
      </w:r>
    </w:p>
    <w:p w:rsidR="00727069" w:rsidRPr="00A710BF" w:rsidRDefault="00727069" w:rsidP="005521D7">
      <w:pPr>
        <w:pStyle w:val="ListParagraph"/>
        <w:numPr>
          <w:ilvl w:val="0"/>
          <w:numId w:val="13"/>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Technology and security systems are continuously being updated and innovated; </w:t>
      </w:r>
      <w:r w:rsidR="00A64393" w:rsidRPr="00A710BF">
        <w:rPr>
          <w:rFonts w:ascii="Times New Roman" w:hAnsi="Times New Roman" w:cs="Times New Roman"/>
          <w:sz w:val="24"/>
          <w:szCs w:val="24"/>
        </w:rPr>
        <w:t>six</w:t>
      </w:r>
      <w:r w:rsidRPr="00A710BF">
        <w:rPr>
          <w:rFonts w:ascii="Times New Roman" w:hAnsi="Times New Roman" w:cs="Times New Roman"/>
          <w:sz w:val="24"/>
          <w:szCs w:val="24"/>
        </w:rPr>
        <w:t xml:space="preserve"> years of audit trails would not provide meaningful insight into a program six years later. </w:t>
      </w:r>
    </w:p>
    <w:p w:rsidR="00727069" w:rsidRPr="00A710BF" w:rsidRDefault="00727069"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Section 500.11 requires that a licensee conduct annual audits of third parties to assure they maintain sufficient cybersecurity requirements.</w:t>
      </w:r>
      <w:r w:rsidR="00A64393" w:rsidRPr="00A710BF">
        <w:rPr>
          <w:rFonts w:ascii="Times New Roman" w:hAnsi="Times New Roman" w:cs="Times New Roman"/>
          <w:sz w:val="24"/>
          <w:szCs w:val="24"/>
        </w:rPr>
        <w:t xml:space="preserve"> The annual</w:t>
      </w:r>
      <w:r w:rsidRPr="00A710BF">
        <w:rPr>
          <w:rFonts w:ascii="Times New Roman" w:hAnsi="Times New Roman" w:cs="Times New Roman"/>
          <w:sz w:val="24"/>
          <w:szCs w:val="24"/>
        </w:rPr>
        <w:t xml:space="preserve"> requirement should be </w:t>
      </w:r>
      <w:r w:rsidR="0060717F">
        <w:rPr>
          <w:rFonts w:ascii="Times New Roman" w:hAnsi="Times New Roman" w:cs="Times New Roman"/>
          <w:sz w:val="24"/>
          <w:szCs w:val="24"/>
        </w:rPr>
        <w:t>replaced with a flexible, risk-</w:t>
      </w:r>
      <w:r w:rsidR="00A64393" w:rsidRPr="00A710BF">
        <w:rPr>
          <w:rFonts w:ascii="Times New Roman" w:hAnsi="Times New Roman" w:cs="Times New Roman"/>
          <w:sz w:val="24"/>
          <w:szCs w:val="24"/>
        </w:rPr>
        <w:t>based standard that allows a financial institution to determine the appropriate audit frequency for ea</w:t>
      </w:r>
      <w:r w:rsidR="0035467E">
        <w:rPr>
          <w:rFonts w:ascii="Times New Roman" w:hAnsi="Times New Roman" w:cs="Times New Roman"/>
          <w:sz w:val="24"/>
          <w:szCs w:val="24"/>
        </w:rPr>
        <w:t>ch individual service provider.</w:t>
      </w:r>
      <w:r w:rsidRPr="00A710BF">
        <w:rPr>
          <w:rFonts w:ascii="Times New Roman" w:hAnsi="Times New Roman" w:cs="Times New Roman"/>
          <w:sz w:val="24"/>
          <w:szCs w:val="24"/>
        </w:rPr>
        <w:t xml:space="preserve"> In addition, provision 500.11(b) should clarify that such provisions are recommended but not required based on the licensee’s assessment of the </w:t>
      </w:r>
      <w:r w:rsidR="00A64393" w:rsidRPr="00A710BF">
        <w:rPr>
          <w:rFonts w:ascii="Times New Roman" w:hAnsi="Times New Roman" w:cs="Times New Roman"/>
          <w:sz w:val="24"/>
          <w:szCs w:val="24"/>
        </w:rPr>
        <w:t>service provider</w:t>
      </w:r>
      <w:r w:rsidRPr="00A710BF">
        <w:rPr>
          <w:rFonts w:ascii="Times New Roman" w:hAnsi="Times New Roman" w:cs="Times New Roman"/>
          <w:sz w:val="24"/>
          <w:szCs w:val="24"/>
        </w:rPr>
        <w:t xml:space="preserve">’s risk, and item (4) should be stricken. </w:t>
      </w:r>
    </w:p>
    <w:p w:rsidR="00A64393" w:rsidRPr="00A710BF" w:rsidRDefault="00A64393" w:rsidP="005521D7">
      <w:pPr>
        <w:pStyle w:val="ListParagraph"/>
        <w:numPr>
          <w:ilvl w:val="0"/>
          <w:numId w:val="14"/>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Given the number of service providers</w:t>
      </w:r>
      <w:r w:rsidR="00727069" w:rsidRPr="00A710BF">
        <w:rPr>
          <w:rFonts w:ascii="Times New Roman" w:hAnsi="Times New Roman" w:cs="Times New Roman"/>
          <w:sz w:val="24"/>
          <w:szCs w:val="24"/>
        </w:rPr>
        <w:t xml:space="preserve"> that a licensee may deal with and </w:t>
      </w:r>
      <w:r w:rsidRPr="00A710BF">
        <w:rPr>
          <w:rFonts w:ascii="Times New Roman" w:hAnsi="Times New Roman" w:cs="Times New Roman"/>
          <w:sz w:val="24"/>
          <w:szCs w:val="24"/>
        </w:rPr>
        <w:t xml:space="preserve">the </w:t>
      </w:r>
      <w:r w:rsidR="00727069" w:rsidRPr="00A710BF">
        <w:rPr>
          <w:rFonts w:ascii="Times New Roman" w:hAnsi="Times New Roman" w:cs="Times New Roman"/>
          <w:sz w:val="24"/>
          <w:szCs w:val="24"/>
        </w:rPr>
        <w:t xml:space="preserve">cost of audits (which often </w:t>
      </w:r>
      <w:r w:rsidRPr="00A710BF">
        <w:rPr>
          <w:rFonts w:ascii="Times New Roman" w:hAnsi="Times New Roman" w:cs="Times New Roman"/>
          <w:sz w:val="24"/>
          <w:szCs w:val="24"/>
        </w:rPr>
        <w:t>are paid for</w:t>
      </w:r>
      <w:r w:rsidR="00727069" w:rsidRPr="00A710BF">
        <w:rPr>
          <w:rFonts w:ascii="Times New Roman" w:hAnsi="Times New Roman" w:cs="Times New Roman"/>
          <w:sz w:val="24"/>
          <w:szCs w:val="24"/>
        </w:rPr>
        <w:t xml:space="preserve"> by the auditing party), an annual audit of each </w:t>
      </w:r>
      <w:r w:rsidRPr="00A710BF">
        <w:rPr>
          <w:rFonts w:ascii="Times New Roman" w:hAnsi="Times New Roman" w:cs="Times New Roman"/>
          <w:sz w:val="24"/>
          <w:szCs w:val="24"/>
        </w:rPr>
        <w:t>service provider</w:t>
      </w:r>
      <w:r w:rsidR="00727069" w:rsidRPr="00A710BF">
        <w:rPr>
          <w:rFonts w:ascii="Times New Roman" w:hAnsi="Times New Roman" w:cs="Times New Roman"/>
          <w:sz w:val="24"/>
          <w:szCs w:val="24"/>
        </w:rPr>
        <w:t xml:space="preserve"> would be extremely burdensome and unproductive. </w:t>
      </w:r>
    </w:p>
    <w:p w:rsidR="00296DE6" w:rsidRPr="00A710BF" w:rsidRDefault="00727069" w:rsidP="005521D7">
      <w:pPr>
        <w:pStyle w:val="ListParagraph"/>
        <w:numPr>
          <w:ilvl w:val="0"/>
          <w:numId w:val="14"/>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It </w:t>
      </w:r>
      <w:r w:rsidR="00A64393" w:rsidRPr="00A710BF">
        <w:rPr>
          <w:rFonts w:ascii="Times New Roman" w:hAnsi="Times New Roman" w:cs="Times New Roman"/>
          <w:sz w:val="24"/>
          <w:szCs w:val="24"/>
        </w:rPr>
        <w:t>may prove</w:t>
      </w:r>
      <w:r w:rsidRPr="00A710BF">
        <w:rPr>
          <w:rFonts w:ascii="Times New Roman" w:hAnsi="Times New Roman" w:cs="Times New Roman"/>
          <w:sz w:val="24"/>
          <w:szCs w:val="24"/>
        </w:rPr>
        <w:t xml:space="preserve"> difficult </w:t>
      </w:r>
      <w:r w:rsidR="00A64393" w:rsidRPr="00A710BF">
        <w:rPr>
          <w:rFonts w:ascii="Times New Roman" w:hAnsi="Times New Roman" w:cs="Times New Roman"/>
          <w:sz w:val="24"/>
          <w:szCs w:val="24"/>
        </w:rPr>
        <w:t xml:space="preserve">for covered entities </w:t>
      </w:r>
      <w:r w:rsidRPr="00A710BF">
        <w:rPr>
          <w:rFonts w:ascii="Times New Roman" w:hAnsi="Times New Roman" w:cs="Times New Roman"/>
          <w:sz w:val="24"/>
          <w:szCs w:val="24"/>
        </w:rPr>
        <w:t xml:space="preserve">to find </w:t>
      </w:r>
      <w:r w:rsidR="00A64393" w:rsidRPr="00A710BF">
        <w:rPr>
          <w:rFonts w:ascii="Times New Roman" w:hAnsi="Times New Roman" w:cs="Times New Roman"/>
          <w:sz w:val="24"/>
          <w:szCs w:val="24"/>
        </w:rPr>
        <w:t>service providers</w:t>
      </w:r>
      <w:r w:rsidRPr="00A710BF">
        <w:rPr>
          <w:rFonts w:ascii="Times New Roman" w:hAnsi="Times New Roman" w:cs="Times New Roman"/>
          <w:sz w:val="24"/>
          <w:szCs w:val="24"/>
        </w:rPr>
        <w:t xml:space="preserve"> that are prepared </w:t>
      </w:r>
      <w:r w:rsidR="00A17B24">
        <w:rPr>
          <w:rFonts w:ascii="Times New Roman" w:hAnsi="Times New Roman" w:cs="Times New Roman"/>
          <w:sz w:val="24"/>
          <w:szCs w:val="24"/>
        </w:rPr>
        <w:t xml:space="preserve">for </w:t>
      </w:r>
      <w:r w:rsidRPr="00A710BF">
        <w:rPr>
          <w:rFonts w:ascii="Times New Roman" w:hAnsi="Times New Roman" w:cs="Times New Roman"/>
          <w:sz w:val="24"/>
          <w:szCs w:val="24"/>
        </w:rPr>
        <w:t xml:space="preserve">and able to comply with the requirement that data be encrypted </w:t>
      </w:r>
      <w:r w:rsidR="00A64393" w:rsidRPr="00A710BF">
        <w:rPr>
          <w:rFonts w:ascii="Times New Roman" w:hAnsi="Times New Roman" w:cs="Times New Roman"/>
          <w:sz w:val="24"/>
          <w:szCs w:val="24"/>
        </w:rPr>
        <w:t xml:space="preserve">while in transit and </w:t>
      </w:r>
      <w:r w:rsidRPr="00A710BF">
        <w:rPr>
          <w:rFonts w:ascii="Times New Roman" w:hAnsi="Times New Roman" w:cs="Times New Roman"/>
          <w:sz w:val="24"/>
          <w:szCs w:val="24"/>
        </w:rPr>
        <w:t xml:space="preserve">at rest. Licensees should </w:t>
      </w:r>
      <w:r w:rsidR="00296DE6" w:rsidRPr="00A710BF">
        <w:rPr>
          <w:rFonts w:ascii="Times New Roman" w:hAnsi="Times New Roman" w:cs="Times New Roman"/>
          <w:sz w:val="24"/>
          <w:szCs w:val="24"/>
        </w:rPr>
        <w:t>have flexibility to work with service providers</w:t>
      </w:r>
      <w:r w:rsidRPr="00A710BF">
        <w:rPr>
          <w:rFonts w:ascii="Times New Roman" w:hAnsi="Times New Roman" w:cs="Times New Roman"/>
          <w:sz w:val="24"/>
          <w:szCs w:val="24"/>
        </w:rPr>
        <w:t xml:space="preserve"> </w:t>
      </w:r>
      <w:r w:rsidR="00296DE6" w:rsidRPr="00A710BF">
        <w:rPr>
          <w:rFonts w:ascii="Times New Roman" w:hAnsi="Times New Roman" w:cs="Times New Roman"/>
          <w:sz w:val="24"/>
          <w:szCs w:val="24"/>
        </w:rPr>
        <w:t>with</w:t>
      </w:r>
      <w:r w:rsidRPr="00A710BF">
        <w:rPr>
          <w:rFonts w:ascii="Times New Roman" w:hAnsi="Times New Roman" w:cs="Times New Roman"/>
          <w:sz w:val="24"/>
          <w:szCs w:val="24"/>
        </w:rPr>
        <w:t xml:space="preserve"> security program</w:t>
      </w:r>
      <w:r w:rsidR="00296DE6" w:rsidRPr="00A710BF">
        <w:rPr>
          <w:rFonts w:ascii="Times New Roman" w:hAnsi="Times New Roman" w:cs="Times New Roman"/>
          <w:sz w:val="24"/>
          <w:szCs w:val="24"/>
        </w:rPr>
        <w:t>s</w:t>
      </w:r>
      <w:r w:rsidRPr="00A710BF">
        <w:rPr>
          <w:rFonts w:ascii="Times New Roman" w:hAnsi="Times New Roman" w:cs="Times New Roman"/>
          <w:sz w:val="24"/>
          <w:szCs w:val="24"/>
        </w:rPr>
        <w:t xml:space="preserve"> </w:t>
      </w:r>
      <w:r w:rsidR="00296DE6" w:rsidRPr="00A710BF">
        <w:rPr>
          <w:rFonts w:ascii="Times New Roman" w:hAnsi="Times New Roman" w:cs="Times New Roman"/>
          <w:sz w:val="24"/>
          <w:szCs w:val="24"/>
        </w:rPr>
        <w:t>that provide sufficient security without having to encrypt</w:t>
      </w:r>
      <w:r w:rsidRPr="00A710BF">
        <w:rPr>
          <w:rFonts w:ascii="Times New Roman" w:hAnsi="Times New Roman" w:cs="Times New Roman"/>
          <w:sz w:val="24"/>
          <w:szCs w:val="24"/>
        </w:rPr>
        <w:t xml:space="preserve"> data at rest. </w:t>
      </w:r>
    </w:p>
    <w:p w:rsidR="00727069" w:rsidRPr="00A710BF" w:rsidRDefault="00727069" w:rsidP="005521D7">
      <w:pPr>
        <w:pStyle w:val="ListParagraph"/>
        <w:numPr>
          <w:ilvl w:val="0"/>
          <w:numId w:val="14"/>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As currently drafted, </w:t>
      </w:r>
      <w:r w:rsidR="00B24BA8">
        <w:rPr>
          <w:rFonts w:ascii="Times New Roman" w:hAnsi="Times New Roman" w:cs="Times New Roman"/>
          <w:sz w:val="24"/>
          <w:szCs w:val="24"/>
        </w:rPr>
        <w:t>500.11</w:t>
      </w:r>
      <w:r w:rsidRPr="00A710BF">
        <w:rPr>
          <w:rFonts w:ascii="Times New Roman" w:hAnsi="Times New Roman" w:cs="Times New Roman"/>
          <w:sz w:val="24"/>
          <w:szCs w:val="24"/>
        </w:rPr>
        <w:t xml:space="preserve">(4) could be read to require a </w:t>
      </w:r>
      <w:r w:rsidR="00296DE6" w:rsidRPr="00A710BF">
        <w:rPr>
          <w:rFonts w:ascii="Times New Roman" w:hAnsi="Times New Roman" w:cs="Times New Roman"/>
          <w:sz w:val="24"/>
          <w:szCs w:val="24"/>
        </w:rPr>
        <w:t>service provider</w:t>
      </w:r>
      <w:r w:rsidRPr="00A710BF">
        <w:rPr>
          <w:rFonts w:ascii="Times New Roman" w:hAnsi="Times New Roman" w:cs="Times New Roman"/>
          <w:sz w:val="24"/>
          <w:szCs w:val="24"/>
        </w:rPr>
        <w:t xml:space="preserve"> to provide and pay for identity protection services in the event of a breach even if there</w:t>
      </w:r>
      <w:r w:rsidR="00296DE6" w:rsidRPr="00A710BF">
        <w:rPr>
          <w:rFonts w:ascii="Times New Roman" w:hAnsi="Times New Roman" w:cs="Times New Roman"/>
          <w:sz w:val="24"/>
          <w:szCs w:val="24"/>
        </w:rPr>
        <w:t xml:space="preserve"> was no compromise to customer</w:t>
      </w:r>
      <w:r w:rsidRPr="00A710BF">
        <w:rPr>
          <w:rFonts w:ascii="Times New Roman" w:hAnsi="Times New Roman" w:cs="Times New Roman"/>
          <w:sz w:val="24"/>
          <w:szCs w:val="24"/>
        </w:rPr>
        <w:t xml:space="preserve"> financial information. Moreover, it should be left to the licensee and its </w:t>
      </w:r>
      <w:r w:rsidR="00296DE6" w:rsidRPr="00A710BF">
        <w:rPr>
          <w:rFonts w:ascii="Times New Roman" w:hAnsi="Times New Roman" w:cs="Times New Roman"/>
          <w:sz w:val="24"/>
          <w:szCs w:val="24"/>
        </w:rPr>
        <w:t>service provider</w:t>
      </w:r>
      <w:r w:rsidRPr="00A710BF">
        <w:rPr>
          <w:rFonts w:ascii="Times New Roman" w:hAnsi="Times New Roman" w:cs="Times New Roman"/>
          <w:sz w:val="24"/>
          <w:szCs w:val="24"/>
        </w:rPr>
        <w:t xml:space="preserve"> to determine which party should carry the responsibility of paying for customer service-based remediation in the event of security breaches. This provision should be removed. </w:t>
      </w:r>
    </w:p>
    <w:p w:rsidR="00BD6B42" w:rsidRDefault="00CA3883" w:rsidP="00BD6B42">
      <w:pPr>
        <w:pStyle w:val="ListParagraph"/>
        <w:numPr>
          <w:ilvl w:val="0"/>
          <w:numId w:val="10"/>
        </w:numPr>
        <w:spacing w:after="240" w:line="240" w:lineRule="auto"/>
        <w:jc w:val="both"/>
        <w:rPr>
          <w:rFonts w:ascii="Times New Roman" w:hAnsi="Times New Roman" w:cs="Times New Roman"/>
          <w:sz w:val="24"/>
          <w:szCs w:val="24"/>
        </w:rPr>
      </w:pPr>
      <w:r w:rsidRPr="00A710BF">
        <w:rPr>
          <w:rFonts w:ascii="Times New Roman" w:hAnsi="Times New Roman" w:cs="Times New Roman"/>
          <w:sz w:val="24"/>
          <w:szCs w:val="24"/>
        </w:rPr>
        <w:t xml:space="preserve">Section 500.11 should be revised to strike the requirement that a third party service provider represent and warrant that its service or product “is free of viruses, trap doors, time bombs and other mechanisms.” The Department should not interfere in the contractual relations between </w:t>
      </w:r>
      <w:r w:rsidR="0060717F">
        <w:rPr>
          <w:rFonts w:ascii="Times New Roman" w:hAnsi="Times New Roman" w:cs="Times New Roman"/>
          <w:sz w:val="24"/>
          <w:szCs w:val="24"/>
        </w:rPr>
        <w:t>l</w:t>
      </w:r>
      <w:r w:rsidRPr="00A710BF">
        <w:rPr>
          <w:rFonts w:ascii="Times New Roman" w:hAnsi="Times New Roman" w:cs="Times New Roman"/>
          <w:sz w:val="24"/>
          <w:szCs w:val="24"/>
        </w:rPr>
        <w:t>icensees and service providers. In particular, this provision would force service providers to make an untenable representation and warranty.</w:t>
      </w:r>
    </w:p>
    <w:p w:rsidR="00BD6B42" w:rsidRDefault="00BD6B42" w:rsidP="00BD6B42">
      <w:pPr>
        <w:pStyle w:val="ListParagraph"/>
        <w:spacing w:after="240" w:line="240" w:lineRule="auto"/>
        <w:jc w:val="both"/>
        <w:rPr>
          <w:rFonts w:ascii="Times New Roman" w:hAnsi="Times New Roman" w:cs="Times New Roman"/>
          <w:sz w:val="24"/>
          <w:szCs w:val="24"/>
        </w:rPr>
      </w:pPr>
    </w:p>
    <w:p w:rsidR="00BD6B42" w:rsidRDefault="00727069" w:rsidP="00BD6B42">
      <w:pPr>
        <w:pStyle w:val="ListParagraph"/>
        <w:numPr>
          <w:ilvl w:val="0"/>
          <w:numId w:val="10"/>
        </w:numPr>
        <w:spacing w:after="240" w:line="240" w:lineRule="auto"/>
        <w:jc w:val="both"/>
        <w:rPr>
          <w:rFonts w:ascii="Times New Roman" w:hAnsi="Times New Roman" w:cs="Times New Roman"/>
          <w:sz w:val="24"/>
          <w:szCs w:val="24"/>
        </w:rPr>
      </w:pPr>
      <w:r w:rsidRPr="00BD6B42">
        <w:rPr>
          <w:rFonts w:ascii="Times New Roman" w:hAnsi="Times New Roman" w:cs="Times New Roman"/>
          <w:sz w:val="24"/>
          <w:szCs w:val="24"/>
        </w:rPr>
        <w:t>Section 500</w:t>
      </w:r>
      <w:r w:rsidR="00B875D2" w:rsidRPr="00BD6B42">
        <w:rPr>
          <w:rFonts w:ascii="Times New Roman" w:hAnsi="Times New Roman" w:cs="Times New Roman"/>
          <w:sz w:val="24"/>
          <w:szCs w:val="24"/>
        </w:rPr>
        <w:t>.12 should be modified so that m</w:t>
      </w:r>
      <w:r w:rsidRPr="00BD6B42">
        <w:rPr>
          <w:rFonts w:ascii="Times New Roman" w:hAnsi="Times New Roman" w:cs="Times New Roman"/>
          <w:sz w:val="24"/>
          <w:szCs w:val="24"/>
        </w:rPr>
        <w:t>ulti-factor authentication is</w:t>
      </w:r>
      <w:r w:rsidR="00BD6B42" w:rsidRPr="00BD6B42">
        <w:rPr>
          <w:rFonts w:ascii="Times New Roman" w:hAnsi="Times New Roman" w:cs="Times New Roman"/>
          <w:sz w:val="24"/>
          <w:szCs w:val="24"/>
        </w:rPr>
        <w:t xml:space="preserve"> not mandated in certain instances, but rather is one of the technological access mechanisms that companies should consider</w:t>
      </w:r>
      <w:r w:rsidR="00BD6B42">
        <w:rPr>
          <w:rFonts w:ascii="Times New Roman" w:hAnsi="Times New Roman" w:cs="Times New Roman"/>
          <w:sz w:val="24"/>
          <w:szCs w:val="24"/>
        </w:rPr>
        <w:t>.</w:t>
      </w:r>
    </w:p>
    <w:p w:rsidR="00BD6B42" w:rsidRPr="00BD6B42" w:rsidRDefault="00BD6B42" w:rsidP="00BD6B42">
      <w:pPr>
        <w:pStyle w:val="ListParagraph"/>
        <w:rPr>
          <w:rFonts w:ascii="Times New Roman" w:hAnsi="Times New Roman" w:cs="Times New Roman"/>
          <w:sz w:val="24"/>
          <w:szCs w:val="24"/>
        </w:rPr>
      </w:pPr>
    </w:p>
    <w:p w:rsidR="00B875D2" w:rsidRPr="00BD6B42" w:rsidRDefault="00727069" w:rsidP="00BD6B42">
      <w:pPr>
        <w:pStyle w:val="ListParagraph"/>
        <w:numPr>
          <w:ilvl w:val="0"/>
          <w:numId w:val="22"/>
        </w:numPr>
        <w:spacing w:after="240" w:line="240" w:lineRule="auto"/>
        <w:jc w:val="both"/>
        <w:rPr>
          <w:rFonts w:ascii="Times New Roman" w:hAnsi="Times New Roman" w:cs="Times New Roman"/>
          <w:sz w:val="24"/>
          <w:szCs w:val="24"/>
        </w:rPr>
      </w:pPr>
      <w:r w:rsidRPr="00BD6B42">
        <w:rPr>
          <w:rFonts w:ascii="Times New Roman" w:hAnsi="Times New Roman" w:cs="Times New Roman"/>
          <w:sz w:val="24"/>
          <w:szCs w:val="24"/>
        </w:rPr>
        <w:t xml:space="preserve">Customers do not universally </w:t>
      </w:r>
      <w:r w:rsidR="00B875D2" w:rsidRPr="00BD6B42">
        <w:rPr>
          <w:rFonts w:ascii="Times New Roman" w:hAnsi="Times New Roman" w:cs="Times New Roman"/>
          <w:sz w:val="24"/>
          <w:szCs w:val="24"/>
        </w:rPr>
        <w:t>accept</w:t>
      </w:r>
      <w:r w:rsidRPr="00BD6B42">
        <w:rPr>
          <w:rFonts w:ascii="Times New Roman" w:hAnsi="Times New Roman" w:cs="Times New Roman"/>
          <w:sz w:val="24"/>
          <w:szCs w:val="24"/>
        </w:rPr>
        <w:t xml:space="preserve"> multifactor authentication as a benefit</w:t>
      </w:r>
      <w:r w:rsidR="00B875D2" w:rsidRPr="00BD6B42">
        <w:rPr>
          <w:rFonts w:ascii="Times New Roman" w:hAnsi="Times New Roman" w:cs="Times New Roman"/>
          <w:sz w:val="24"/>
          <w:szCs w:val="24"/>
        </w:rPr>
        <w:t>. Many customers</w:t>
      </w:r>
      <w:r w:rsidRPr="00BD6B42">
        <w:rPr>
          <w:rFonts w:ascii="Times New Roman" w:hAnsi="Times New Roman" w:cs="Times New Roman"/>
          <w:sz w:val="24"/>
          <w:szCs w:val="24"/>
        </w:rPr>
        <w:t xml:space="preserve"> </w:t>
      </w:r>
      <w:r w:rsidR="00B875D2" w:rsidRPr="00BD6B42">
        <w:rPr>
          <w:rFonts w:ascii="Times New Roman" w:hAnsi="Times New Roman" w:cs="Times New Roman"/>
          <w:sz w:val="24"/>
          <w:szCs w:val="24"/>
        </w:rPr>
        <w:t>view multifactor authentication</w:t>
      </w:r>
      <w:r w:rsidRPr="00BD6B42">
        <w:rPr>
          <w:rFonts w:ascii="Times New Roman" w:hAnsi="Times New Roman" w:cs="Times New Roman"/>
          <w:sz w:val="24"/>
          <w:szCs w:val="24"/>
        </w:rPr>
        <w:t xml:space="preserve"> as a barrie</w:t>
      </w:r>
      <w:r w:rsidR="00B875D2" w:rsidRPr="00BD6B42">
        <w:rPr>
          <w:rFonts w:ascii="Times New Roman" w:hAnsi="Times New Roman" w:cs="Times New Roman"/>
          <w:sz w:val="24"/>
          <w:szCs w:val="24"/>
        </w:rPr>
        <w:t xml:space="preserve">r and burden to obtaining </w:t>
      </w:r>
      <w:r w:rsidR="0035467E" w:rsidRPr="00BD6B42">
        <w:rPr>
          <w:rFonts w:ascii="Times New Roman" w:hAnsi="Times New Roman" w:cs="Times New Roman"/>
          <w:sz w:val="24"/>
          <w:szCs w:val="24"/>
        </w:rPr>
        <w:t xml:space="preserve">services. </w:t>
      </w:r>
      <w:r w:rsidRPr="00BD6B42">
        <w:rPr>
          <w:rFonts w:ascii="Times New Roman" w:hAnsi="Times New Roman" w:cs="Times New Roman"/>
          <w:sz w:val="24"/>
          <w:szCs w:val="24"/>
        </w:rPr>
        <w:t>Licensees should be allowed to implement these safeguards where risks or flags indicate there may be a reason to require additional secur</w:t>
      </w:r>
      <w:r w:rsidR="00B875D2" w:rsidRPr="00BD6B42">
        <w:rPr>
          <w:rFonts w:ascii="Times New Roman" w:hAnsi="Times New Roman" w:cs="Times New Roman"/>
          <w:sz w:val="24"/>
          <w:szCs w:val="24"/>
        </w:rPr>
        <w:t xml:space="preserve">ity or where customers seek </w:t>
      </w:r>
      <w:r w:rsidRPr="00BD6B42">
        <w:rPr>
          <w:rFonts w:ascii="Times New Roman" w:hAnsi="Times New Roman" w:cs="Times New Roman"/>
          <w:sz w:val="24"/>
          <w:szCs w:val="24"/>
        </w:rPr>
        <w:t>additional protection</w:t>
      </w:r>
      <w:r w:rsidR="00B875D2" w:rsidRPr="00BD6B42">
        <w:rPr>
          <w:rFonts w:ascii="Times New Roman" w:hAnsi="Times New Roman" w:cs="Times New Roman"/>
          <w:sz w:val="24"/>
          <w:szCs w:val="24"/>
        </w:rPr>
        <w:t>. L</w:t>
      </w:r>
      <w:r w:rsidRPr="00BD6B42">
        <w:rPr>
          <w:rFonts w:ascii="Times New Roman" w:hAnsi="Times New Roman" w:cs="Times New Roman"/>
          <w:sz w:val="24"/>
          <w:szCs w:val="24"/>
        </w:rPr>
        <w:t>icensees</w:t>
      </w:r>
      <w:r w:rsidR="00B875D2" w:rsidRPr="00BD6B42">
        <w:rPr>
          <w:rFonts w:ascii="Times New Roman" w:hAnsi="Times New Roman" w:cs="Times New Roman"/>
          <w:sz w:val="24"/>
          <w:szCs w:val="24"/>
        </w:rPr>
        <w:t>, however,</w:t>
      </w:r>
      <w:r w:rsidRPr="00BD6B42">
        <w:rPr>
          <w:rFonts w:ascii="Times New Roman" w:hAnsi="Times New Roman" w:cs="Times New Roman"/>
          <w:sz w:val="24"/>
          <w:szCs w:val="24"/>
        </w:rPr>
        <w:t xml:space="preserve"> should not be required to force </w:t>
      </w:r>
      <w:r w:rsidR="00B875D2" w:rsidRPr="00BD6B42">
        <w:rPr>
          <w:rFonts w:ascii="Times New Roman" w:hAnsi="Times New Roman" w:cs="Times New Roman"/>
          <w:sz w:val="24"/>
          <w:szCs w:val="24"/>
        </w:rPr>
        <w:t>the additional burden of multifactor authentication</w:t>
      </w:r>
      <w:r w:rsidRPr="00BD6B42">
        <w:rPr>
          <w:rFonts w:ascii="Times New Roman" w:hAnsi="Times New Roman" w:cs="Times New Roman"/>
          <w:sz w:val="24"/>
          <w:szCs w:val="24"/>
        </w:rPr>
        <w:t xml:space="preserve"> on all customers, particularly where the risk assessment does not indicate it is helpful or necessary. </w:t>
      </w:r>
    </w:p>
    <w:p w:rsidR="00BD6B42" w:rsidRPr="00BD6B42" w:rsidRDefault="00BD6B42" w:rsidP="00BD6B42">
      <w:pPr>
        <w:pStyle w:val="ListParagraph"/>
        <w:spacing w:after="240" w:line="240" w:lineRule="auto"/>
        <w:jc w:val="both"/>
        <w:rPr>
          <w:rFonts w:ascii="Times New Roman" w:hAnsi="Times New Roman" w:cs="Times New Roman"/>
          <w:sz w:val="24"/>
          <w:szCs w:val="24"/>
        </w:rPr>
      </w:pPr>
    </w:p>
    <w:p w:rsidR="0048258A" w:rsidRPr="0048258A" w:rsidRDefault="00727069" w:rsidP="0048258A">
      <w:pPr>
        <w:pStyle w:val="ListParagraph"/>
        <w:numPr>
          <w:ilvl w:val="0"/>
          <w:numId w:val="15"/>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Express requirements for multi-factor authentication in all scenarios reduces </w:t>
      </w:r>
      <w:r w:rsidR="00D84968">
        <w:rPr>
          <w:rFonts w:ascii="Times New Roman" w:hAnsi="Times New Roman" w:cs="Times New Roman"/>
          <w:sz w:val="24"/>
          <w:szCs w:val="24"/>
        </w:rPr>
        <w:t>incentives for</w:t>
      </w:r>
      <w:r w:rsidRPr="00A710BF">
        <w:rPr>
          <w:rFonts w:ascii="Times New Roman" w:hAnsi="Times New Roman" w:cs="Times New Roman"/>
          <w:sz w:val="24"/>
          <w:szCs w:val="24"/>
        </w:rPr>
        <w:t xml:space="preserve"> </w:t>
      </w:r>
      <w:r w:rsidR="00D84968">
        <w:rPr>
          <w:rFonts w:ascii="Times New Roman" w:hAnsi="Times New Roman" w:cs="Times New Roman"/>
          <w:sz w:val="24"/>
          <w:szCs w:val="24"/>
        </w:rPr>
        <w:t xml:space="preserve">innovating </w:t>
      </w:r>
      <w:r w:rsidRPr="00A710BF">
        <w:rPr>
          <w:rFonts w:ascii="Times New Roman" w:hAnsi="Times New Roman" w:cs="Times New Roman"/>
          <w:sz w:val="24"/>
          <w:szCs w:val="24"/>
        </w:rPr>
        <w:t xml:space="preserve">new methods </w:t>
      </w:r>
      <w:r w:rsidR="007E36CC">
        <w:rPr>
          <w:rFonts w:ascii="Times New Roman" w:hAnsi="Times New Roman" w:cs="Times New Roman"/>
          <w:sz w:val="24"/>
          <w:szCs w:val="24"/>
        </w:rPr>
        <w:t xml:space="preserve">of authentication </w:t>
      </w:r>
      <w:r w:rsidRPr="00A710BF">
        <w:rPr>
          <w:rFonts w:ascii="Times New Roman" w:hAnsi="Times New Roman" w:cs="Times New Roman"/>
          <w:sz w:val="24"/>
          <w:szCs w:val="24"/>
        </w:rPr>
        <w:t xml:space="preserve">that could be used to safely and accurately ensure customer authentication and identification. </w:t>
      </w:r>
    </w:p>
    <w:p w:rsidR="00727069" w:rsidRPr="00A710BF" w:rsidRDefault="00727069"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Section 500.13 requires destruction of </w:t>
      </w:r>
      <w:r w:rsidR="00B875D2" w:rsidRPr="00A710BF">
        <w:rPr>
          <w:rFonts w:ascii="Times New Roman" w:hAnsi="Times New Roman" w:cs="Times New Roman"/>
          <w:sz w:val="24"/>
          <w:szCs w:val="24"/>
        </w:rPr>
        <w:t>NPI</w:t>
      </w:r>
      <w:r w:rsidRPr="00A710BF">
        <w:rPr>
          <w:rFonts w:ascii="Times New Roman" w:hAnsi="Times New Roman" w:cs="Times New Roman"/>
          <w:sz w:val="24"/>
          <w:szCs w:val="24"/>
        </w:rPr>
        <w:t xml:space="preserve"> “that is no longer necessary for the provision of products or services”. This language should be changed to “no longer useful for the provision of products or services.”  </w:t>
      </w:r>
    </w:p>
    <w:p w:rsidR="00727069" w:rsidRPr="00A710BF" w:rsidRDefault="00B875D2" w:rsidP="005521D7">
      <w:pPr>
        <w:pStyle w:val="ListParagraph"/>
        <w:numPr>
          <w:ilvl w:val="0"/>
          <w:numId w:val="16"/>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In certain cases NPI</w:t>
      </w:r>
      <w:r w:rsidR="00727069" w:rsidRPr="00A710BF">
        <w:rPr>
          <w:rFonts w:ascii="Times New Roman" w:hAnsi="Times New Roman" w:cs="Times New Roman"/>
          <w:sz w:val="24"/>
          <w:szCs w:val="24"/>
        </w:rPr>
        <w:t xml:space="preserve"> may not be needed to provide services but is </w:t>
      </w:r>
      <w:r w:rsidRPr="00A710BF">
        <w:rPr>
          <w:rFonts w:ascii="Times New Roman" w:hAnsi="Times New Roman" w:cs="Times New Roman"/>
          <w:sz w:val="24"/>
          <w:szCs w:val="24"/>
        </w:rPr>
        <w:t xml:space="preserve">nevertheless </w:t>
      </w:r>
      <w:r w:rsidR="00727069" w:rsidRPr="00A710BF">
        <w:rPr>
          <w:rFonts w:ascii="Times New Roman" w:hAnsi="Times New Roman" w:cs="Times New Roman"/>
          <w:sz w:val="24"/>
          <w:szCs w:val="24"/>
        </w:rPr>
        <w:t>useful for fraud prevention</w:t>
      </w:r>
      <w:r w:rsidRPr="00A710BF">
        <w:rPr>
          <w:rFonts w:ascii="Times New Roman" w:hAnsi="Times New Roman" w:cs="Times New Roman"/>
          <w:sz w:val="24"/>
          <w:szCs w:val="24"/>
        </w:rPr>
        <w:t xml:space="preserve"> or modeling</w:t>
      </w:r>
      <w:r w:rsidR="00727069" w:rsidRPr="00A710BF">
        <w:rPr>
          <w:rFonts w:ascii="Times New Roman" w:hAnsi="Times New Roman" w:cs="Times New Roman"/>
          <w:sz w:val="24"/>
          <w:szCs w:val="24"/>
        </w:rPr>
        <w:t>. These uses provide significant customer benefits and improvements to the services, although the</w:t>
      </w:r>
      <w:r w:rsidRPr="00A710BF">
        <w:rPr>
          <w:rFonts w:ascii="Times New Roman" w:hAnsi="Times New Roman" w:cs="Times New Roman"/>
          <w:sz w:val="24"/>
          <w:szCs w:val="24"/>
        </w:rPr>
        <w:t xml:space="preserve">y may be deemed “unnecessary”. </w:t>
      </w:r>
      <w:r w:rsidR="00727069" w:rsidRPr="00A710BF">
        <w:rPr>
          <w:rFonts w:ascii="Times New Roman" w:hAnsi="Times New Roman" w:cs="Times New Roman"/>
          <w:sz w:val="24"/>
          <w:szCs w:val="24"/>
        </w:rPr>
        <w:t xml:space="preserve">It would harm consumers to require </w:t>
      </w:r>
      <w:r w:rsidRPr="00A710BF">
        <w:rPr>
          <w:rFonts w:ascii="Times New Roman" w:hAnsi="Times New Roman" w:cs="Times New Roman"/>
          <w:sz w:val="24"/>
          <w:szCs w:val="24"/>
        </w:rPr>
        <w:t xml:space="preserve">NPI </w:t>
      </w:r>
      <w:r w:rsidR="00727069" w:rsidRPr="00A710BF">
        <w:rPr>
          <w:rFonts w:ascii="Times New Roman" w:hAnsi="Times New Roman" w:cs="Times New Roman"/>
          <w:sz w:val="24"/>
          <w:szCs w:val="24"/>
        </w:rPr>
        <w:t>to be deleted when it could oth</w:t>
      </w:r>
      <w:r w:rsidRPr="00A710BF">
        <w:rPr>
          <w:rFonts w:ascii="Times New Roman" w:hAnsi="Times New Roman" w:cs="Times New Roman"/>
          <w:sz w:val="24"/>
          <w:szCs w:val="24"/>
        </w:rPr>
        <w:t>erwise be kept safely and securely</w:t>
      </w:r>
      <w:r w:rsidR="00727069" w:rsidRPr="00A710BF">
        <w:rPr>
          <w:rFonts w:ascii="Times New Roman" w:hAnsi="Times New Roman" w:cs="Times New Roman"/>
          <w:sz w:val="24"/>
          <w:szCs w:val="24"/>
        </w:rPr>
        <w:t xml:space="preserve"> </w:t>
      </w:r>
      <w:r w:rsidRPr="00A710BF">
        <w:rPr>
          <w:rFonts w:ascii="Times New Roman" w:hAnsi="Times New Roman" w:cs="Times New Roman"/>
          <w:sz w:val="24"/>
          <w:szCs w:val="24"/>
        </w:rPr>
        <w:t>to support</w:t>
      </w:r>
      <w:r w:rsidR="00727069" w:rsidRPr="00A710BF">
        <w:rPr>
          <w:rFonts w:ascii="Times New Roman" w:hAnsi="Times New Roman" w:cs="Times New Roman"/>
          <w:sz w:val="24"/>
          <w:szCs w:val="24"/>
        </w:rPr>
        <w:t xml:space="preserve"> the licensee’s services. </w:t>
      </w:r>
    </w:p>
    <w:p w:rsidR="00727069" w:rsidRPr="00A710BF" w:rsidRDefault="0060717F"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Section </w:t>
      </w:r>
      <w:r w:rsidR="00727069" w:rsidRPr="00A710BF">
        <w:rPr>
          <w:rFonts w:ascii="Times New Roman" w:hAnsi="Times New Roman" w:cs="Times New Roman"/>
          <w:sz w:val="24"/>
          <w:szCs w:val="24"/>
        </w:rPr>
        <w:t xml:space="preserve">500.15 should be modified to delete the requirement that </w:t>
      </w:r>
      <w:r w:rsidR="005521D7" w:rsidRPr="00A710BF">
        <w:rPr>
          <w:rFonts w:ascii="Times New Roman" w:hAnsi="Times New Roman" w:cs="Times New Roman"/>
          <w:sz w:val="24"/>
          <w:szCs w:val="24"/>
        </w:rPr>
        <w:t>NPI</w:t>
      </w:r>
      <w:r w:rsidR="00727069" w:rsidRPr="00A710BF">
        <w:rPr>
          <w:rFonts w:ascii="Times New Roman" w:hAnsi="Times New Roman" w:cs="Times New Roman"/>
          <w:sz w:val="24"/>
          <w:szCs w:val="24"/>
        </w:rPr>
        <w:t xml:space="preserve"> be encrypted while at rest</w:t>
      </w:r>
      <w:r w:rsidR="0048258A">
        <w:rPr>
          <w:rFonts w:ascii="Times New Roman" w:hAnsi="Times New Roman" w:cs="Times New Roman"/>
          <w:sz w:val="24"/>
          <w:szCs w:val="24"/>
        </w:rPr>
        <w:t xml:space="preserve"> and in transit in a</w:t>
      </w:r>
      <w:r w:rsidR="007A56D1">
        <w:rPr>
          <w:rFonts w:ascii="Times New Roman" w:hAnsi="Times New Roman" w:cs="Times New Roman"/>
          <w:sz w:val="24"/>
          <w:szCs w:val="24"/>
        </w:rPr>
        <w:t>l</w:t>
      </w:r>
      <w:r w:rsidR="0048258A">
        <w:rPr>
          <w:rFonts w:ascii="Times New Roman" w:hAnsi="Times New Roman" w:cs="Times New Roman"/>
          <w:sz w:val="24"/>
          <w:szCs w:val="24"/>
        </w:rPr>
        <w:t>l instances</w:t>
      </w:r>
      <w:r w:rsidR="00727069" w:rsidRPr="00A710BF">
        <w:rPr>
          <w:rFonts w:ascii="Times New Roman" w:hAnsi="Times New Roman" w:cs="Times New Roman"/>
          <w:sz w:val="24"/>
          <w:szCs w:val="24"/>
        </w:rPr>
        <w:t xml:space="preserve">.  </w:t>
      </w:r>
    </w:p>
    <w:p w:rsidR="005521D7" w:rsidRPr="00A710BF" w:rsidRDefault="00727069" w:rsidP="005521D7">
      <w:pPr>
        <w:pStyle w:val="ListParagraph"/>
        <w:numPr>
          <w:ilvl w:val="0"/>
          <w:numId w:val="16"/>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There are </w:t>
      </w:r>
      <w:r w:rsidR="005521D7" w:rsidRPr="00A710BF">
        <w:rPr>
          <w:rFonts w:ascii="Times New Roman" w:hAnsi="Times New Roman" w:cs="Times New Roman"/>
          <w:sz w:val="24"/>
          <w:szCs w:val="24"/>
        </w:rPr>
        <w:t>numerous</w:t>
      </w:r>
      <w:r w:rsidRPr="00A710BF">
        <w:rPr>
          <w:rFonts w:ascii="Times New Roman" w:hAnsi="Times New Roman" w:cs="Times New Roman"/>
          <w:sz w:val="24"/>
          <w:szCs w:val="24"/>
        </w:rPr>
        <w:t xml:space="preserve"> technical controls that may </w:t>
      </w:r>
      <w:r w:rsidR="005521D7" w:rsidRPr="00A710BF">
        <w:rPr>
          <w:rFonts w:ascii="Times New Roman" w:hAnsi="Times New Roman" w:cs="Times New Roman"/>
          <w:sz w:val="24"/>
          <w:szCs w:val="24"/>
        </w:rPr>
        <w:t>be implemented</w:t>
      </w:r>
      <w:r w:rsidRPr="00A710BF">
        <w:rPr>
          <w:rFonts w:ascii="Times New Roman" w:hAnsi="Times New Roman" w:cs="Times New Roman"/>
          <w:sz w:val="24"/>
          <w:szCs w:val="24"/>
        </w:rPr>
        <w:t xml:space="preserve"> to protect data that are as effective </w:t>
      </w:r>
      <w:r w:rsidR="005521D7" w:rsidRPr="00A710BF">
        <w:rPr>
          <w:rFonts w:ascii="Times New Roman" w:hAnsi="Times New Roman" w:cs="Times New Roman"/>
          <w:sz w:val="24"/>
          <w:szCs w:val="24"/>
        </w:rPr>
        <w:t xml:space="preserve">or more effective </w:t>
      </w:r>
      <w:r w:rsidRPr="00A710BF">
        <w:rPr>
          <w:rFonts w:ascii="Times New Roman" w:hAnsi="Times New Roman" w:cs="Times New Roman"/>
          <w:sz w:val="24"/>
          <w:szCs w:val="24"/>
        </w:rPr>
        <w:t xml:space="preserve">than encryption. </w:t>
      </w:r>
      <w:r w:rsidR="005521D7" w:rsidRPr="00A710BF">
        <w:rPr>
          <w:rFonts w:ascii="Times New Roman" w:hAnsi="Times New Roman" w:cs="Times New Roman"/>
          <w:sz w:val="24"/>
          <w:szCs w:val="24"/>
        </w:rPr>
        <w:t>L</w:t>
      </w:r>
      <w:r w:rsidRPr="00A710BF">
        <w:rPr>
          <w:rFonts w:ascii="Times New Roman" w:hAnsi="Times New Roman" w:cs="Times New Roman"/>
          <w:sz w:val="24"/>
          <w:szCs w:val="24"/>
        </w:rPr>
        <w:t xml:space="preserve">icensees should </w:t>
      </w:r>
      <w:r w:rsidR="005521D7" w:rsidRPr="00A710BF">
        <w:rPr>
          <w:rFonts w:ascii="Times New Roman" w:hAnsi="Times New Roman" w:cs="Times New Roman"/>
          <w:sz w:val="24"/>
          <w:szCs w:val="24"/>
        </w:rPr>
        <w:t>have the flexibility</w:t>
      </w:r>
      <w:r w:rsidRPr="00A710BF">
        <w:rPr>
          <w:rFonts w:ascii="Times New Roman" w:hAnsi="Times New Roman" w:cs="Times New Roman"/>
          <w:sz w:val="24"/>
          <w:szCs w:val="24"/>
        </w:rPr>
        <w:t xml:space="preserve"> to select other methods based on </w:t>
      </w:r>
      <w:r w:rsidR="005521D7" w:rsidRPr="00A710BF">
        <w:rPr>
          <w:rFonts w:ascii="Times New Roman" w:hAnsi="Times New Roman" w:cs="Times New Roman"/>
          <w:sz w:val="24"/>
          <w:szCs w:val="24"/>
        </w:rPr>
        <w:t xml:space="preserve">the licensee’s </w:t>
      </w:r>
      <w:r w:rsidRPr="00A710BF">
        <w:rPr>
          <w:rFonts w:ascii="Times New Roman" w:hAnsi="Times New Roman" w:cs="Times New Roman"/>
          <w:sz w:val="24"/>
          <w:szCs w:val="24"/>
        </w:rPr>
        <w:t xml:space="preserve">security philosophy and risk assessment.  </w:t>
      </w:r>
    </w:p>
    <w:p w:rsidR="005521D7" w:rsidRPr="00A710BF" w:rsidRDefault="005521D7" w:rsidP="005521D7">
      <w:pPr>
        <w:pStyle w:val="ListParagraph"/>
        <w:numPr>
          <w:ilvl w:val="0"/>
          <w:numId w:val="16"/>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A prescriptive e</w:t>
      </w:r>
      <w:r w:rsidR="00727069" w:rsidRPr="00A710BF">
        <w:rPr>
          <w:rFonts w:ascii="Times New Roman" w:hAnsi="Times New Roman" w:cs="Times New Roman"/>
          <w:sz w:val="24"/>
          <w:szCs w:val="24"/>
        </w:rPr>
        <w:t xml:space="preserve">ncryption requirement </w:t>
      </w:r>
      <w:r w:rsidR="00D84968">
        <w:rPr>
          <w:rFonts w:ascii="Times New Roman" w:hAnsi="Times New Roman" w:cs="Times New Roman"/>
          <w:sz w:val="24"/>
          <w:szCs w:val="24"/>
        </w:rPr>
        <w:t>limits</w:t>
      </w:r>
      <w:r w:rsidRPr="00A710BF">
        <w:rPr>
          <w:rFonts w:ascii="Times New Roman" w:hAnsi="Times New Roman" w:cs="Times New Roman"/>
          <w:sz w:val="24"/>
          <w:szCs w:val="24"/>
        </w:rPr>
        <w:t xml:space="preserve"> flexibility</w:t>
      </w:r>
      <w:r w:rsidR="00727069" w:rsidRPr="00A710BF">
        <w:rPr>
          <w:rFonts w:ascii="Times New Roman" w:hAnsi="Times New Roman" w:cs="Times New Roman"/>
          <w:sz w:val="24"/>
          <w:szCs w:val="24"/>
        </w:rPr>
        <w:t xml:space="preserve">. Even if data is not encrypted at rest, licensees could adopt other data security controls to prevent the disclosure of data. </w:t>
      </w:r>
    </w:p>
    <w:p w:rsidR="005521D7" w:rsidRPr="00A710BF" w:rsidRDefault="005521D7" w:rsidP="005521D7">
      <w:pPr>
        <w:pStyle w:val="ListParagraph"/>
        <w:numPr>
          <w:ilvl w:val="0"/>
          <w:numId w:val="16"/>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The Department’s proposal</w:t>
      </w:r>
      <w:r w:rsidR="00727069" w:rsidRPr="00A710BF">
        <w:rPr>
          <w:rFonts w:ascii="Times New Roman" w:hAnsi="Times New Roman" w:cs="Times New Roman"/>
          <w:sz w:val="24"/>
          <w:szCs w:val="24"/>
        </w:rPr>
        <w:t xml:space="preserve"> is not consistent with existing standards, including PCI</w:t>
      </w:r>
      <w:r w:rsidRPr="00A710BF">
        <w:rPr>
          <w:rFonts w:ascii="Times New Roman" w:hAnsi="Times New Roman" w:cs="Times New Roman"/>
          <w:sz w:val="24"/>
          <w:szCs w:val="24"/>
        </w:rPr>
        <w:t xml:space="preserve">, which </w:t>
      </w:r>
      <w:r w:rsidR="00727069" w:rsidRPr="00A710BF">
        <w:rPr>
          <w:rFonts w:ascii="Times New Roman" w:hAnsi="Times New Roman" w:cs="Times New Roman"/>
          <w:sz w:val="24"/>
          <w:szCs w:val="24"/>
        </w:rPr>
        <w:t xml:space="preserve">requires encryption of data </w:t>
      </w:r>
      <w:r w:rsidR="0029124F" w:rsidRPr="00A710BF">
        <w:rPr>
          <w:rFonts w:ascii="Times New Roman" w:hAnsi="Times New Roman" w:cs="Times New Roman"/>
          <w:sz w:val="24"/>
          <w:szCs w:val="24"/>
        </w:rPr>
        <w:t xml:space="preserve">only </w:t>
      </w:r>
      <w:r w:rsidR="00727069" w:rsidRPr="00A710BF">
        <w:rPr>
          <w:rFonts w:ascii="Times New Roman" w:hAnsi="Times New Roman" w:cs="Times New Roman"/>
          <w:sz w:val="24"/>
          <w:szCs w:val="24"/>
        </w:rPr>
        <w:t xml:space="preserve">in transit </w:t>
      </w:r>
      <w:r w:rsidR="0029124F">
        <w:rPr>
          <w:rFonts w:ascii="Times New Roman" w:hAnsi="Times New Roman" w:cs="Times New Roman"/>
          <w:sz w:val="24"/>
          <w:szCs w:val="24"/>
        </w:rPr>
        <w:t>and</w:t>
      </w:r>
      <w:r w:rsidR="0029124F" w:rsidRPr="00A710BF">
        <w:rPr>
          <w:rFonts w:ascii="Times New Roman" w:hAnsi="Times New Roman" w:cs="Times New Roman"/>
          <w:sz w:val="24"/>
          <w:szCs w:val="24"/>
        </w:rPr>
        <w:t xml:space="preserve"> </w:t>
      </w:r>
      <w:r w:rsidR="00727069" w:rsidRPr="00A710BF">
        <w:rPr>
          <w:rFonts w:ascii="Times New Roman" w:hAnsi="Times New Roman" w:cs="Times New Roman"/>
          <w:sz w:val="24"/>
          <w:szCs w:val="24"/>
        </w:rPr>
        <w:t>not while</w:t>
      </w:r>
      <w:r w:rsidRPr="00A710BF">
        <w:rPr>
          <w:rFonts w:ascii="Times New Roman" w:hAnsi="Times New Roman" w:cs="Times New Roman"/>
          <w:sz w:val="24"/>
          <w:szCs w:val="24"/>
        </w:rPr>
        <w:t xml:space="preserve"> at rest on a private network. </w:t>
      </w:r>
      <w:r w:rsidR="00727069" w:rsidRPr="00A710BF">
        <w:rPr>
          <w:rFonts w:ascii="Times New Roman" w:hAnsi="Times New Roman" w:cs="Times New Roman"/>
          <w:sz w:val="24"/>
          <w:szCs w:val="24"/>
        </w:rPr>
        <w:t xml:space="preserve">The PCI standard recognizes that there are instances in which clear text access to data at rest must be allowed, including </w:t>
      </w:r>
      <w:r w:rsidRPr="00A710BF">
        <w:rPr>
          <w:rFonts w:ascii="Times New Roman" w:hAnsi="Times New Roman" w:cs="Times New Roman"/>
          <w:sz w:val="24"/>
          <w:szCs w:val="24"/>
        </w:rPr>
        <w:t xml:space="preserve">for </w:t>
      </w:r>
      <w:r w:rsidR="00727069" w:rsidRPr="00A710BF">
        <w:rPr>
          <w:rFonts w:ascii="Times New Roman" w:hAnsi="Times New Roman" w:cs="Times New Roman"/>
          <w:sz w:val="24"/>
          <w:szCs w:val="24"/>
        </w:rPr>
        <w:t xml:space="preserve">fraud prevention.  </w:t>
      </w:r>
    </w:p>
    <w:p w:rsidR="00727069" w:rsidRPr="00A710BF" w:rsidRDefault="00727069" w:rsidP="005521D7">
      <w:pPr>
        <w:pStyle w:val="ListParagraph"/>
        <w:numPr>
          <w:ilvl w:val="0"/>
          <w:numId w:val="16"/>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lastRenderedPageBreak/>
        <w:t xml:space="preserve">Requiring encryption of data at rest would reduce licensees’ ability to use such data for fraud prevention. This would harm consumers and offset </w:t>
      </w:r>
      <w:r w:rsidR="0029124F">
        <w:rPr>
          <w:rFonts w:ascii="Times New Roman" w:hAnsi="Times New Roman" w:cs="Times New Roman"/>
          <w:sz w:val="24"/>
          <w:szCs w:val="24"/>
        </w:rPr>
        <w:t>potential benefits</w:t>
      </w:r>
      <w:r w:rsidR="0029124F" w:rsidRPr="00A710BF">
        <w:rPr>
          <w:rFonts w:ascii="Times New Roman" w:hAnsi="Times New Roman" w:cs="Times New Roman"/>
          <w:sz w:val="24"/>
          <w:szCs w:val="24"/>
        </w:rPr>
        <w:t xml:space="preserve"> </w:t>
      </w:r>
      <w:r w:rsidRPr="00A710BF">
        <w:rPr>
          <w:rFonts w:ascii="Times New Roman" w:hAnsi="Times New Roman" w:cs="Times New Roman"/>
          <w:sz w:val="24"/>
          <w:szCs w:val="24"/>
        </w:rPr>
        <w:t xml:space="preserve">of the requirement, particularly when other security measures can be implemented to prevent disclosure of information while at rest. </w:t>
      </w:r>
    </w:p>
    <w:p w:rsidR="00727069" w:rsidRPr="00A710BF" w:rsidRDefault="0060717F" w:rsidP="005521D7">
      <w:pPr>
        <w:pStyle w:val="ListParagraph"/>
        <w:numPr>
          <w:ilvl w:val="0"/>
          <w:numId w:val="10"/>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Section </w:t>
      </w:r>
      <w:r w:rsidR="00727069" w:rsidRPr="00A710BF">
        <w:rPr>
          <w:rFonts w:ascii="Times New Roman" w:hAnsi="Times New Roman" w:cs="Times New Roman"/>
          <w:sz w:val="24"/>
          <w:szCs w:val="24"/>
        </w:rPr>
        <w:t xml:space="preserve">500.17 should be revised so that (1) notice is only required in the event of actual breaches that materially affect the normal operation of the Covered Entity or that affect </w:t>
      </w:r>
      <w:r w:rsidR="005521D7" w:rsidRPr="00A710BF">
        <w:rPr>
          <w:rFonts w:ascii="Times New Roman" w:hAnsi="Times New Roman" w:cs="Times New Roman"/>
          <w:sz w:val="24"/>
          <w:szCs w:val="24"/>
        </w:rPr>
        <w:t>NPI</w:t>
      </w:r>
      <w:r w:rsidR="00727069" w:rsidRPr="00A710BF">
        <w:rPr>
          <w:rFonts w:ascii="Times New Roman" w:hAnsi="Times New Roman" w:cs="Times New Roman"/>
          <w:sz w:val="24"/>
          <w:szCs w:val="24"/>
        </w:rPr>
        <w:t>, (2) notice is only required within 30 business days, and (3) the certification standard is</w:t>
      </w:r>
      <w:r w:rsidR="0035467E">
        <w:rPr>
          <w:rFonts w:ascii="Times New Roman" w:hAnsi="Times New Roman" w:cs="Times New Roman"/>
          <w:sz w:val="24"/>
          <w:szCs w:val="24"/>
        </w:rPr>
        <w:t xml:space="preserve"> to the certifier’s knowledge. </w:t>
      </w:r>
      <w:r w:rsidR="00727069" w:rsidRPr="00A710BF">
        <w:rPr>
          <w:rFonts w:ascii="Times New Roman" w:hAnsi="Times New Roman" w:cs="Times New Roman"/>
          <w:sz w:val="24"/>
          <w:szCs w:val="24"/>
        </w:rPr>
        <w:t xml:space="preserve">In addition, the section should clarify the types of documents that should be kept in support of the certification. </w:t>
      </w:r>
    </w:p>
    <w:p w:rsidR="005521D7" w:rsidRPr="00A710BF" w:rsidRDefault="00727069" w:rsidP="005521D7">
      <w:pPr>
        <w:pStyle w:val="ListParagraph"/>
        <w:numPr>
          <w:ilvl w:val="0"/>
          <w:numId w:val="17"/>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The 72 hour notice requirement is not consistent with any other existing notice requirement. It would be extremely difficult for licensees to provide meaningful notice within that period, as they may not fully understand the impact of a breach within that time period and would not be able to provide meaningful information to the superintendent. Premature notification to customers could cause alarm before all impacts are understood.  </w:t>
      </w:r>
    </w:p>
    <w:p w:rsidR="005521D7" w:rsidRPr="00A710BF" w:rsidRDefault="00727069" w:rsidP="005521D7">
      <w:pPr>
        <w:pStyle w:val="ListParagraph"/>
        <w:numPr>
          <w:ilvl w:val="0"/>
          <w:numId w:val="17"/>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 xml:space="preserve">Notice should only be required in the event of confirmed breaches that materially impact the licensee or result in disclosure of </w:t>
      </w:r>
      <w:r w:rsidR="005521D7" w:rsidRPr="00A710BF">
        <w:rPr>
          <w:rFonts w:ascii="Times New Roman" w:hAnsi="Times New Roman" w:cs="Times New Roman"/>
          <w:sz w:val="24"/>
          <w:szCs w:val="24"/>
        </w:rPr>
        <w:t>NPI</w:t>
      </w:r>
      <w:r w:rsidRPr="00A710BF">
        <w:rPr>
          <w:rFonts w:ascii="Times New Roman" w:hAnsi="Times New Roman" w:cs="Times New Roman"/>
          <w:sz w:val="24"/>
          <w:szCs w:val="24"/>
        </w:rPr>
        <w:t xml:space="preserve"> (as that definition is modified above).  Licensees cannot </w:t>
      </w:r>
      <w:r w:rsidR="0029124F">
        <w:rPr>
          <w:rFonts w:ascii="Times New Roman" w:hAnsi="Times New Roman" w:cs="Times New Roman"/>
          <w:sz w:val="24"/>
          <w:szCs w:val="24"/>
        </w:rPr>
        <w:t xml:space="preserve">be expected to </w:t>
      </w:r>
      <w:r w:rsidRPr="00A710BF">
        <w:rPr>
          <w:rFonts w:ascii="Times New Roman" w:hAnsi="Times New Roman" w:cs="Times New Roman"/>
          <w:sz w:val="24"/>
          <w:szCs w:val="24"/>
        </w:rPr>
        <w:t>know of</w:t>
      </w:r>
      <w:r w:rsidR="0029124F">
        <w:rPr>
          <w:rFonts w:ascii="Times New Roman" w:hAnsi="Times New Roman" w:cs="Times New Roman"/>
          <w:sz w:val="24"/>
          <w:szCs w:val="24"/>
        </w:rPr>
        <w:t>, let alone provide notification regarding,</w:t>
      </w:r>
      <w:r w:rsidRPr="00A710BF">
        <w:rPr>
          <w:rFonts w:ascii="Times New Roman" w:hAnsi="Times New Roman" w:cs="Times New Roman"/>
          <w:sz w:val="24"/>
          <w:szCs w:val="24"/>
        </w:rPr>
        <w:t xml:space="preserve"> all attempts</w:t>
      </w:r>
      <w:r w:rsidR="0029124F">
        <w:rPr>
          <w:rFonts w:ascii="Times New Roman" w:hAnsi="Times New Roman" w:cs="Times New Roman"/>
          <w:sz w:val="24"/>
          <w:szCs w:val="24"/>
        </w:rPr>
        <w:t xml:space="preserve"> to breach the security of their systems</w:t>
      </w:r>
      <w:r w:rsidRPr="00A710BF">
        <w:rPr>
          <w:rFonts w:ascii="Times New Roman" w:hAnsi="Times New Roman" w:cs="Times New Roman"/>
          <w:sz w:val="24"/>
          <w:szCs w:val="24"/>
        </w:rPr>
        <w:t xml:space="preserve">.  </w:t>
      </w:r>
      <w:bookmarkStart w:id="0" w:name="_GoBack"/>
      <w:bookmarkEnd w:id="0"/>
    </w:p>
    <w:p w:rsidR="005521D7" w:rsidRPr="00A710BF" w:rsidRDefault="005521D7" w:rsidP="005521D7">
      <w:pPr>
        <w:pStyle w:val="ListParagraph"/>
        <w:numPr>
          <w:ilvl w:val="0"/>
          <w:numId w:val="17"/>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L</w:t>
      </w:r>
      <w:r w:rsidR="00727069" w:rsidRPr="00A710BF">
        <w:rPr>
          <w:rFonts w:ascii="Times New Roman" w:hAnsi="Times New Roman" w:cs="Times New Roman"/>
          <w:sz w:val="24"/>
          <w:szCs w:val="24"/>
        </w:rPr>
        <w:t xml:space="preserve">arge companies </w:t>
      </w:r>
      <w:r w:rsidRPr="00A710BF">
        <w:rPr>
          <w:rFonts w:ascii="Times New Roman" w:hAnsi="Times New Roman" w:cs="Times New Roman"/>
          <w:sz w:val="24"/>
          <w:szCs w:val="24"/>
        </w:rPr>
        <w:t>are</w:t>
      </w:r>
      <w:r w:rsidR="00727069" w:rsidRPr="00A710BF">
        <w:rPr>
          <w:rFonts w:ascii="Times New Roman" w:hAnsi="Times New Roman" w:cs="Times New Roman"/>
          <w:sz w:val="24"/>
          <w:szCs w:val="24"/>
        </w:rPr>
        <w:t xml:space="preserve"> sometimes the target of unsuccessful hacking attempts that pose no true threat to the licensee or the customer information. Notice of all failed or immaterial attempts would not only cause a burden on the licensee but would inundate the </w:t>
      </w:r>
      <w:r w:rsidR="0060717F">
        <w:rPr>
          <w:rFonts w:ascii="Times New Roman" w:hAnsi="Times New Roman" w:cs="Times New Roman"/>
          <w:sz w:val="24"/>
          <w:szCs w:val="24"/>
        </w:rPr>
        <w:t>Department</w:t>
      </w:r>
      <w:r w:rsidR="00727069" w:rsidRPr="00A710BF">
        <w:rPr>
          <w:rFonts w:ascii="Times New Roman" w:hAnsi="Times New Roman" w:cs="Times New Roman"/>
          <w:sz w:val="24"/>
          <w:szCs w:val="24"/>
        </w:rPr>
        <w:t xml:space="preserve"> with unhelpful information. Both licensees and the </w:t>
      </w:r>
      <w:r w:rsidR="0060717F">
        <w:rPr>
          <w:rFonts w:ascii="Times New Roman" w:hAnsi="Times New Roman" w:cs="Times New Roman"/>
          <w:sz w:val="24"/>
          <w:szCs w:val="24"/>
        </w:rPr>
        <w:t>Department</w:t>
      </w:r>
      <w:r w:rsidR="00727069" w:rsidRPr="00A710BF">
        <w:rPr>
          <w:rFonts w:ascii="Times New Roman" w:hAnsi="Times New Roman" w:cs="Times New Roman"/>
          <w:sz w:val="24"/>
          <w:szCs w:val="24"/>
        </w:rPr>
        <w:t xml:space="preserve"> should focus on areas where harm has actually occurred. </w:t>
      </w:r>
    </w:p>
    <w:p w:rsidR="005521D7" w:rsidRPr="00A710BF" w:rsidRDefault="00727069" w:rsidP="005521D7">
      <w:pPr>
        <w:pStyle w:val="ListParagraph"/>
        <w:numPr>
          <w:ilvl w:val="0"/>
          <w:numId w:val="17"/>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The form certification states that the “to the best of [Certifier’s] knowledge, the Cybe</w:t>
      </w:r>
      <w:r w:rsidR="0035467E">
        <w:rPr>
          <w:rFonts w:ascii="Times New Roman" w:hAnsi="Times New Roman" w:cs="Times New Roman"/>
          <w:sz w:val="24"/>
          <w:szCs w:val="24"/>
        </w:rPr>
        <w:t xml:space="preserve">rsecurity Program…complies…” </w:t>
      </w:r>
      <w:r w:rsidRPr="00A710BF">
        <w:rPr>
          <w:rFonts w:ascii="Times New Roman" w:hAnsi="Times New Roman" w:cs="Times New Roman"/>
          <w:sz w:val="24"/>
          <w:szCs w:val="24"/>
        </w:rPr>
        <w:t xml:space="preserve">The text of the statute in 500.17(b) should conform with this language and state that “the Covered Entity shall submit to the superintendent a written statement by January 15, in such form set forth as Exhibit A, </w:t>
      </w:r>
      <w:r w:rsidRPr="0060717F">
        <w:rPr>
          <w:rFonts w:ascii="Times New Roman" w:hAnsi="Times New Roman" w:cs="Times New Roman"/>
          <w:sz w:val="24"/>
          <w:szCs w:val="24"/>
        </w:rPr>
        <w:t xml:space="preserve">certifying that </w:t>
      </w:r>
      <w:r w:rsidRPr="0060717F">
        <w:rPr>
          <w:rFonts w:ascii="Times New Roman" w:hAnsi="Times New Roman" w:cs="Times New Roman"/>
          <w:sz w:val="24"/>
          <w:szCs w:val="24"/>
          <w:u w:val="single"/>
        </w:rPr>
        <w:t>to the best of the undersigned’s knowledge</w:t>
      </w:r>
      <w:r w:rsidRPr="0060717F">
        <w:rPr>
          <w:rFonts w:ascii="Times New Roman" w:hAnsi="Times New Roman" w:cs="Times New Roman"/>
          <w:sz w:val="24"/>
          <w:szCs w:val="24"/>
        </w:rPr>
        <w:t xml:space="preserve">, the </w:t>
      </w:r>
      <w:r w:rsidRPr="00A710BF">
        <w:rPr>
          <w:rFonts w:ascii="Times New Roman" w:hAnsi="Times New Roman" w:cs="Times New Roman"/>
          <w:sz w:val="24"/>
          <w:szCs w:val="24"/>
        </w:rPr>
        <w:t xml:space="preserve">Covered Entity is in compliance with the requirements set forth in this Part.” </w:t>
      </w:r>
    </w:p>
    <w:p w:rsidR="00CA3883" w:rsidRDefault="005521D7" w:rsidP="00CA3883">
      <w:pPr>
        <w:pStyle w:val="ListParagraph"/>
        <w:numPr>
          <w:ilvl w:val="0"/>
          <w:numId w:val="17"/>
        </w:numPr>
        <w:spacing w:after="240" w:line="240" w:lineRule="auto"/>
        <w:contextualSpacing w:val="0"/>
        <w:jc w:val="both"/>
        <w:rPr>
          <w:rFonts w:ascii="Times New Roman" w:hAnsi="Times New Roman" w:cs="Times New Roman"/>
          <w:sz w:val="24"/>
          <w:szCs w:val="24"/>
        </w:rPr>
      </w:pPr>
      <w:r w:rsidRPr="00A710BF">
        <w:rPr>
          <w:rFonts w:ascii="Times New Roman" w:hAnsi="Times New Roman" w:cs="Times New Roman"/>
          <w:sz w:val="24"/>
          <w:szCs w:val="24"/>
        </w:rPr>
        <w:t>T</w:t>
      </w:r>
      <w:r w:rsidR="00727069" w:rsidRPr="00A710BF">
        <w:rPr>
          <w:rFonts w:ascii="Times New Roman" w:hAnsi="Times New Roman" w:cs="Times New Roman"/>
          <w:sz w:val="24"/>
          <w:szCs w:val="24"/>
        </w:rPr>
        <w:t xml:space="preserve">he statement that “Each Covered Entity shall maintain for examination by the Department all records, schedules and data supporting this certificate for a period of five years” is too broad and vague for licensees to follow. It would be impossible for licensees to </w:t>
      </w:r>
      <w:r w:rsidR="00727069" w:rsidRPr="00A710BF">
        <w:rPr>
          <w:rFonts w:ascii="Times New Roman" w:hAnsi="Times New Roman" w:cs="Times New Roman"/>
          <w:sz w:val="24"/>
          <w:szCs w:val="24"/>
        </w:rPr>
        <w:lastRenderedPageBreak/>
        <w:t>retain all such information while simultaneously complying with the spirit of 500.13 to destroy all unnecessary (or un</w:t>
      </w:r>
      <w:r w:rsidRPr="00A710BF">
        <w:rPr>
          <w:rFonts w:ascii="Times New Roman" w:hAnsi="Times New Roman" w:cs="Times New Roman"/>
          <w:sz w:val="24"/>
          <w:szCs w:val="24"/>
        </w:rPr>
        <w:t>helpful</w:t>
      </w:r>
      <w:r w:rsidR="00727069" w:rsidRPr="00A710BF">
        <w:rPr>
          <w:rFonts w:ascii="Times New Roman" w:hAnsi="Times New Roman" w:cs="Times New Roman"/>
          <w:sz w:val="24"/>
          <w:szCs w:val="24"/>
        </w:rPr>
        <w:t xml:space="preserve">) data. The provision should be revised to require licensees to maintain reports provided to the certifier/Board or Directors and relied upon to support the certification, but should not require retention of all documents that could support such a certification.   </w:t>
      </w:r>
    </w:p>
    <w:p w:rsidR="0079403C" w:rsidRDefault="0079403C" w:rsidP="0079403C">
      <w:pPr>
        <w:pStyle w:val="ListParagraph"/>
        <w:numPr>
          <w:ilvl w:val="0"/>
          <w:numId w:val="10"/>
        </w:numPr>
        <w:spacing w:after="240" w:line="240" w:lineRule="auto"/>
        <w:jc w:val="both"/>
        <w:rPr>
          <w:rFonts w:ascii="Times New Roman" w:hAnsi="Times New Roman" w:cs="Times New Roman"/>
          <w:sz w:val="24"/>
          <w:szCs w:val="24"/>
        </w:rPr>
      </w:pPr>
      <w:r w:rsidRPr="0079403C">
        <w:rPr>
          <w:rFonts w:ascii="Times New Roman" w:hAnsi="Times New Roman" w:cs="Times New Roman"/>
          <w:sz w:val="24"/>
          <w:szCs w:val="24"/>
        </w:rPr>
        <w:t xml:space="preserve">Sections 500.20 and 500.21 provide that the regulations will be effective January 1, 2017, and that Covered Entities will be required to comply within 180 days from the effective date. The timing for compliance should be extended to 365 days. </w:t>
      </w:r>
    </w:p>
    <w:p w:rsidR="0079403C" w:rsidRPr="0079403C" w:rsidRDefault="0079403C" w:rsidP="0079403C">
      <w:pPr>
        <w:pStyle w:val="ListParagraph"/>
        <w:spacing w:after="240" w:line="240" w:lineRule="auto"/>
        <w:jc w:val="both"/>
        <w:rPr>
          <w:rFonts w:ascii="Times New Roman" w:hAnsi="Times New Roman" w:cs="Times New Roman"/>
          <w:sz w:val="24"/>
          <w:szCs w:val="24"/>
        </w:rPr>
      </w:pPr>
    </w:p>
    <w:p w:rsidR="00F477D6" w:rsidRPr="00362A4D" w:rsidRDefault="00F477D6" w:rsidP="00362A4D">
      <w:pPr>
        <w:pStyle w:val="ListParagraph"/>
        <w:numPr>
          <w:ilvl w:val="0"/>
          <w:numId w:val="1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the </w:t>
      </w:r>
      <w:r w:rsidR="00362A4D">
        <w:rPr>
          <w:rFonts w:ascii="Times New Roman" w:hAnsi="Times New Roman" w:cs="Times New Roman"/>
          <w:sz w:val="24"/>
          <w:szCs w:val="24"/>
        </w:rPr>
        <w:t xml:space="preserve">practical challenges of meeting the Proposal’s prescriptive requirements, additional time is needed for financial institutions and third party service providers to coordinate their programs and revise their contractual relations accordingly. This is a particular challenge for </w:t>
      </w:r>
      <w:r w:rsidR="00362A4D" w:rsidRPr="00362A4D">
        <w:rPr>
          <w:rFonts w:ascii="Times New Roman" w:hAnsi="Times New Roman" w:cs="Times New Roman"/>
          <w:sz w:val="24"/>
          <w:szCs w:val="24"/>
        </w:rPr>
        <w:t xml:space="preserve">small and mid-sized companies </w:t>
      </w:r>
      <w:r w:rsidR="00362A4D">
        <w:rPr>
          <w:rFonts w:ascii="Times New Roman" w:hAnsi="Times New Roman" w:cs="Times New Roman"/>
          <w:sz w:val="24"/>
          <w:szCs w:val="24"/>
        </w:rPr>
        <w:t xml:space="preserve">that lack the leverage when negotiating with larger industry players. These contracts will need to be drafted carefully to address the Proposal’s requirements, and to take into account the lack of clarity </w:t>
      </w:r>
      <w:r w:rsidR="00362A4D" w:rsidRPr="00362A4D">
        <w:rPr>
          <w:rFonts w:ascii="Times New Roman" w:hAnsi="Times New Roman" w:cs="Times New Roman"/>
          <w:sz w:val="24"/>
          <w:szCs w:val="24"/>
        </w:rPr>
        <w:t>over whether covered entities would be held responsible for a third-party</w:t>
      </w:r>
      <w:r w:rsidR="0060717F">
        <w:rPr>
          <w:rFonts w:ascii="Times New Roman" w:hAnsi="Times New Roman" w:cs="Times New Roman"/>
          <w:sz w:val="24"/>
          <w:szCs w:val="24"/>
        </w:rPr>
        <w:t>’</w:t>
      </w:r>
      <w:r w:rsidR="00362A4D" w:rsidRPr="00362A4D">
        <w:rPr>
          <w:rFonts w:ascii="Times New Roman" w:hAnsi="Times New Roman" w:cs="Times New Roman"/>
          <w:sz w:val="24"/>
          <w:szCs w:val="24"/>
        </w:rPr>
        <w:t>s failure to comply.</w:t>
      </w:r>
    </w:p>
    <w:p w:rsidR="00727069" w:rsidRPr="00A710BF" w:rsidRDefault="00727069" w:rsidP="00CA3883">
      <w:pPr>
        <w:spacing w:after="240" w:line="240" w:lineRule="auto"/>
        <w:jc w:val="center"/>
        <w:rPr>
          <w:rFonts w:ascii="Times New Roman" w:hAnsi="Times New Roman" w:cs="Times New Roman"/>
          <w:sz w:val="24"/>
          <w:szCs w:val="24"/>
        </w:rPr>
      </w:pPr>
      <w:r w:rsidRPr="00A710BF">
        <w:rPr>
          <w:rFonts w:ascii="Times New Roman" w:hAnsi="Times New Roman" w:cs="Times New Roman"/>
          <w:sz w:val="24"/>
          <w:szCs w:val="24"/>
        </w:rPr>
        <w:t>*</w:t>
      </w:r>
      <w:r w:rsidRPr="00A710BF">
        <w:rPr>
          <w:rFonts w:ascii="Times New Roman" w:hAnsi="Times New Roman" w:cs="Times New Roman"/>
          <w:sz w:val="24"/>
          <w:szCs w:val="24"/>
        </w:rPr>
        <w:tab/>
        <w:t>*</w:t>
      </w:r>
      <w:r w:rsidRPr="00A710BF">
        <w:rPr>
          <w:rFonts w:ascii="Times New Roman" w:hAnsi="Times New Roman" w:cs="Times New Roman"/>
          <w:sz w:val="24"/>
          <w:szCs w:val="24"/>
        </w:rPr>
        <w:tab/>
        <w:t>*</w:t>
      </w:r>
    </w:p>
    <w:p w:rsidR="00727069" w:rsidRPr="00A710BF" w:rsidRDefault="00727069" w:rsidP="005521D7">
      <w:pPr>
        <w:spacing w:after="240" w:line="240" w:lineRule="auto"/>
        <w:jc w:val="both"/>
        <w:rPr>
          <w:rFonts w:ascii="Times New Roman" w:hAnsi="Times New Roman" w:cs="Times New Roman"/>
          <w:sz w:val="24"/>
          <w:szCs w:val="24"/>
        </w:rPr>
      </w:pPr>
      <w:r w:rsidRPr="00A710BF">
        <w:rPr>
          <w:rFonts w:ascii="Times New Roman" w:hAnsi="Times New Roman" w:cs="Times New Roman"/>
          <w:sz w:val="24"/>
          <w:szCs w:val="24"/>
        </w:rPr>
        <w:t xml:space="preserve">ETA thanks you for the opportunity to submit these comments.  </w:t>
      </w:r>
    </w:p>
    <w:p w:rsidR="00727069" w:rsidRPr="00A710BF" w:rsidRDefault="00727069" w:rsidP="005521D7">
      <w:pPr>
        <w:spacing w:after="240" w:line="240" w:lineRule="auto"/>
        <w:ind w:left="4320"/>
        <w:jc w:val="both"/>
        <w:rPr>
          <w:rFonts w:ascii="Times New Roman" w:hAnsi="Times New Roman" w:cs="Times New Roman"/>
          <w:sz w:val="24"/>
          <w:szCs w:val="24"/>
        </w:rPr>
      </w:pPr>
      <w:r w:rsidRPr="00A710BF">
        <w:rPr>
          <w:rFonts w:ascii="Times New Roman" w:hAnsi="Times New Roman" w:cs="Times New Roman"/>
          <w:sz w:val="24"/>
          <w:szCs w:val="24"/>
        </w:rPr>
        <w:t>Respectfully submitted,</w:t>
      </w:r>
    </w:p>
    <w:p w:rsidR="00727069" w:rsidRPr="00A710BF" w:rsidRDefault="00727069" w:rsidP="005521D7">
      <w:pPr>
        <w:spacing w:after="240" w:line="240" w:lineRule="auto"/>
        <w:ind w:left="4320"/>
        <w:jc w:val="both"/>
        <w:rPr>
          <w:rFonts w:ascii="Times New Roman" w:hAnsi="Times New Roman" w:cs="Times New Roman"/>
          <w:sz w:val="24"/>
          <w:szCs w:val="24"/>
        </w:rPr>
      </w:pPr>
      <w:r w:rsidRPr="00A710BF">
        <w:rPr>
          <w:rFonts w:ascii="Times New Roman" w:hAnsi="Times New Roman" w:cs="Times New Roman"/>
          <w:noProof/>
          <w:sz w:val="24"/>
          <w:szCs w:val="24"/>
        </w:rPr>
        <w:drawing>
          <wp:inline distT="0" distB="0" distL="0" distR="0" wp14:anchorId="785ED554" wp14:editId="692B02BB">
            <wp:extent cx="1234440" cy="493395"/>
            <wp:effectExtent l="0" t="0" r="3810" b="1905"/>
            <wp:docPr id="1" name="Picture 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8"/>
                    <a:stretch>
                      <a:fillRect/>
                    </a:stretch>
                  </pic:blipFill>
                  <pic:spPr>
                    <a:xfrm>
                      <a:off x="0" y="0"/>
                      <a:ext cx="1234440" cy="493395"/>
                    </a:xfrm>
                    <a:prstGeom prst="rect">
                      <a:avLst/>
                    </a:prstGeom>
                  </pic:spPr>
                </pic:pic>
              </a:graphicData>
            </a:graphic>
          </wp:inline>
        </w:drawing>
      </w:r>
      <w:r w:rsidRPr="00A710BF">
        <w:rPr>
          <w:rFonts w:ascii="Times New Roman" w:hAnsi="Times New Roman" w:cs="Times New Roman"/>
          <w:sz w:val="24"/>
          <w:szCs w:val="24"/>
        </w:rPr>
        <w:tab/>
      </w:r>
      <w:r w:rsidRPr="00A710BF">
        <w:rPr>
          <w:rFonts w:ascii="Times New Roman" w:hAnsi="Times New Roman" w:cs="Times New Roman"/>
          <w:sz w:val="24"/>
          <w:szCs w:val="24"/>
        </w:rPr>
        <w:tab/>
      </w:r>
      <w:r w:rsidRPr="00A710BF">
        <w:rPr>
          <w:rFonts w:ascii="Times New Roman" w:hAnsi="Times New Roman" w:cs="Times New Roman"/>
          <w:sz w:val="24"/>
          <w:szCs w:val="24"/>
        </w:rPr>
        <w:tab/>
      </w:r>
      <w:r w:rsidRPr="00A710BF">
        <w:rPr>
          <w:rFonts w:ascii="Times New Roman" w:hAnsi="Times New Roman" w:cs="Times New Roman"/>
          <w:sz w:val="24"/>
          <w:szCs w:val="24"/>
        </w:rPr>
        <w:tab/>
      </w:r>
      <w:r w:rsidRPr="00A710BF">
        <w:rPr>
          <w:rFonts w:ascii="Times New Roman" w:hAnsi="Times New Roman" w:cs="Times New Roman"/>
          <w:sz w:val="24"/>
          <w:szCs w:val="24"/>
        </w:rPr>
        <w:tab/>
        <w:t xml:space="preserve"> </w:t>
      </w:r>
    </w:p>
    <w:p w:rsidR="00727069" w:rsidRPr="00A710BF" w:rsidRDefault="00727069" w:rsidP="006D098A">
      <w:pPr>
        <w:spacing w:after="0" w:line="240" w:lineRule="auto"/>
        <w:ind w:left="4320"/>
        <w:jc w:val="both"/>
        <w:rPr>
          <w:rFonts w:ascii="Times New Roman" w:hAnsi="Times New Roman" w:cs="Times New Roman"/>
          <w:sz w:val="24"/>
          <w:szCs w:val="24"/>
        </w:rPr>
      </w:pPr>
      <w:r w:rsidRPr="00A710BF">
        <w:rPr>
          <w:rFonts w:ascii="Times New Roman" w:hAnsi="Times New Roman" w:cs="Times New Roman"/>
          <w:sz w:val="24"/>
          <w:szCs w:val="24"/>
        </w:rPr>
        <w:t>Scott Talbott</w:t>
      </w:r>
    </w:p>
    <w:p w:rsidR="00727069" w:rsidRPr="00A710BF" w:rsidRDefault="00727069" w:rsidP="006D098A">
      <w:pPr>
        <w:spacing w:after="0" w:line="240" w:lineRule="auto"/>
        <w:ind w:left="4320"/>
        <w:jc w:val="both"/>
        <w:rPr>
          <w:rFonts w:ascii="Times New Roman" w:hAnsi="Times New Roman" w:cs="Times New Roman"/>
          <w:sz w:val="24"/>
          <w:szCs w:val="24"/>
        </w:rPr>
      </w:pPr>
      <w:r w:rsidRPr="00A710BF">
        <w:rPr>
          <w:rFonts w:ascii="Times New Roman" w:hAnsi="Times New Roman" w:cs="Times New Roman"/>
          <w:sz w:val="24"/>
          <w:szCs w:val="24"/>
        </w:rPr>
        <w:t>Senior Vice President of Government Affairs</w:t>
      </w:r>
    </w:p>
    <w:p w:rsidR="00727069" w:rsidRPr="00A710BF" w:rsidRDefault="00727069" w:rsidP="006D098A">
      <w:pPr>
        <w:spacing w:after="240" w:line="240" w:lineRule="auto"/>
        <w:ind w:left="4320"/>
        <w:jc w:val="both"/>
        <w:rPr>
          <w:rFonts w:ascii="Times New Roman" w:hAnsi="Times New Roman" w:cs="Times New Roman"/>
          <w:sz w:val="24"/>
          <w:szCs w:val="24"/>
        </w:rPr>
      </w:pPr>
      <w:r w:rsidRPr="00A710BF">
        <w:rPr>
          <w:rFonts w:ascii="Times New Roman" w:hAnsi="Times New Roman" w:cs="Times New Roman"/>
          <w:sz w:val="24"/>
          <w:szCs w:val="24"/>
        </w:rPr>
        <w:t>Electronic Transactions Association</w:t>
      </w:r>
    </w:p>
    <w:p w:rsidR="003045F4" w:rsidRPr="00A710BF" w:rsidRDefault="003045F4" w:rsidP="005521D7">
      <w:pPr>
        <w:pStyle w:val="BodyText"/>
        <w:spacing w:after="240" w:line="240" w:lineRule="auto"/>
        <w:jc w:val="both"/>
        <w:rPr>
          <w:rFonts w:ascii="Times New Roman" w:hAnsi="Times New Roman" w:cs="Times New Roman"/>
          <w:sz w:val="24"/>
          <w:szCs w:val="24"/>
        </w:rPr>
      </w:pPr>
    </w:p>
    <w:sectPr w:rsidR="003045F4" w:rsidRPr="00A710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284" w:rsidRDefault="00B50284" w:rsidP="00727069">
      <w:pPr>
        <w:spacing w:after="0" w:line="240" w:lineRule="auto"/>
      </w:pPr>
      <w:r>
        <w:separator/>
      </w:r>
    </w:p>
  </w:endnote>
  <w:endnote w:type="continuationSeparator" w:id="0">
    <w:p w:rsidR="00B50284" w:rsidRDefault="00B50284" w:rsidP="0072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216247"/>
      <w:docPartObj>
        <w:docPartGallery w:val="Page Numbers (Bottom of Page)"/>
        <w:docPartUnique/>
      </w:docPartObj>
    </w:sdtPr>
    <w:sdtEndPr>
      <w:rPr>
        <w:noProof/>
      </w:rPr>
    </w:sdtEndPr>
    <w:sdtContent>
      <w:p w:rsidR="00DE50A3" w:rsidRPr="00DE50A3" w:rsidRDefault="00A710BF" w:rsidP="00DE50A3">
        <w:pPr>
          <w:pStyle w:val="Footer"/>
          <w:jc w:val="center"/>
          <w:rPr>
            <w:rFonts w:ascii="Times New Roman" w:hAnsi="Times New Roman" w:cs="Times New Roman"/>
            <w:sz w:val="24"/>
            <w:szCs w:val="24"/>
          </w:rPr>
        </w:pPr>
        <w:r w:rsidRPr="00DE50A3">
          <w:rPr>
            <w:rFonts w:ascii="Times New Roman" w:hAnsi="Times New Roman" w:cs="Times New Roman"/>
            <w:sz w:val="24"/>
            <w:szCs w:val="24"/>
          </w:rPr>
          <w:fldChar w:fldCharType="begin"/>
        </w:r>
        <w:r w:rsidRPr="00DE50A3">
          <w:rPr>
            <w:rFonts w:ascii="Times New Roman" w:hAnsi="Times New Roman" w:cs="Times New Roman"/>
            <w:sz w:val="24"/>
            <w:szCs w:val="24"/>
          </w:rPr>
          <w:instrText xml:space="preserve"> PAGE   \* MERGEFORMAT </w:instrText>
        </w:r>
        <w:r w:rsidRPr="00DE50A3">
          <w:rPr>
            <w:rFonts w:ascii="Times New Roman" w:hAnsi="Times New Roman" w:cs="Times New Roman"/>
            <w:sz w:val="24"/>
            <w:szCs w:val="24"/>
          </w:rPr>
          <w:fldChar w:fldCharType="separate"/>
        </w:r>
        <w:r w:rsidR="000F48F2">
          <w:rPr>
            <w:rFonts w:ascii="Times New Roman" w:hAnsi="Times New Roman" w:cs="Times New Roman"/>
            <w:noProof/>
            <w:sz w:val="24"/>
            <w:szCs w:val="24"/>
          </w:rPr>
          <w:t>4</w:t>
        </w:r>
        <w:r w:rsidRPr="00DE50A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284" w:rsidRDefault="00B50284" w:rsidP="00727069">
      <w:pPr>
        <w:spacing w:after="0" w:line="240" w:lineRule="auto"/>
      </w:pPr>
      <w:r>
        <w:separator/>
      </w:r>
    </w:p>
  </w:footnote>
  <w:footnote w:type="continuationSeparator" w:id="0">
    <w:p w:rsidR="00B50284" w:rsidRDefault="00B50284" w:rsidP="00727069">
      <w:pPr>
        <w:spacing w:after="0" w:line="240" w:lineRule="auto"/>
      </w:pPr>
      <w:r>
        <w:continuationSeparator/>
      </w:r>
    </w:p>
  </w:footnote>
  <w:footnote w:id="1">
    <w:p w:rsidR="00727069" w:rsidRPr="006F1B8A" w:rsidRDefault="00727069" w:rsidP="00727069">
      <w:pPr>
        <w:pStyle w:val="FootnoteText"/>
        <w:spacing w:after="120"/>
        <w:jc w:val="both"/>
        <w:rPr>
          <w:rFonts w:ascii="Times New Roman" w:hAnsi="Times New Roman"/>
        </w:rPr>
      </w:pPr>
      <w:r w:rsidRPr="006F1B8A">
        <w:rPr>
          <w:rStyle w:val="FootnoteReference"/>
          <w:rFonts w:ascii="Times New Roman" w:hAnsi="Times New Roman"/>
        </w:rPr>
        <w:footnoteRef/>
      </w:r>
      <w:r w:rsidRPr="006F1B8A">
        <w:rPr>
          <w:rFonts w:ascii="Times New Roman" w:hAnsi="Times New Roman"/>
        </w:rPr>
        <w:t xml:space="preserve"> http://www.electran.org/.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8A" w:rsidRDefault="00A710BF">
    <w:pPr>
      <w:pStyle w:val="Header"/>
    </w:pPr>
    <w:r>
      <w:rPr>
        <w:noProof/>
      </w:rPr>
      <w:drawing>
        <wp:inline distT="0" distB="0" distL="0" distR="0" wp14:anchorId="71EEF2DE" wp14:editId="76E81047">
          <wp:extent cx="5943600" cy="7753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75335"/>
                  </a:xfrm>
                  <a:prstGeom prst="rect">
                    <a:avLst/>
                  </a:prstGeom>
                  <a:noFill/>
                  <a:ln>
                    <a:noFill/>
                  </a:ln>
                </pic:spPr>
              </pic:pic>
            </a:graphicData>
          </a:graphic>
        </wp:inline>
      </w:drawing>
    </w:r>
  </w:p>
  <w:p w:rsidR="00DE50A3" w:rsidRDefault="000F4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3779E1"/>
    <w:multiLevelType w:val="hybridMultilevel"/>
    <w:tmpl w:val="EF868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27886"/>
    <w:multiLevelType w:val="hybridMultilevel"/>
    <w:tmpl w:val="00BA5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77145"/>
    <w:multiLevelType w:val="hybridMultilevel"/>
    <w:tmpl w:val="E08AB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Bold" w:hAnsi="Times New Roman Bold"/>
        <w:b/>
        <w:i w:val="0"/>
        <w:caps w:val="0"/>
        <w:smallCaps w:val="0"/>
        <w:strike w:val="0"/>
        <w:dstrike w:val="0"/>
        <w:vanish/>
        <w:color w:val="auto"/>
        <w:sz w:val="24"/>
        <w:u w:val="none"/>
        <w:vertAlign w:val="baseli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98E55C3"/>
    <w:multiLevelType w:val="hybridMultilevel"/>
    <w:tmpl w:val="E41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D5E52"/>
    <w:multiLevelType w:val="hybridMultilevel"/>
    <w:tmpl w:val="684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25C6B"/>
    <w:multiLevelType w:val="hybridMultilevel"/>
    <w:tmpl w:val="5F0CE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3441D4"/>
    <w:multiLevelType w:val="hybridMultilevel"/>
    <w:tmpl w:val="25F6C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F745A7"/>
    <w:multiLevelType w:val="hybridMultilevel"/>
    <w:tmpl w:val="79A082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60C74"/>
    <w:multiLevelType w:val="hybridMultilevel"/>
    <w:tmpl w:val="EEAA8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C43F8"/>
    <w:multiLevelType w:val="hybridMultilevel"/>
    <w:tmpl w:val="862E1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15554F"/>
    <w:multiLevelType w:val="hybridMultilevel"/>
    <w:tmpl w:val="6DC80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8414C0"/>
    <w:multiLevelType w:val="hybridMultilevel"/>
    <w:tmpl w:val="9056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2418C4"/>
    <w:multiLevelType w:val="hybridMultilevel"/>
    <w:tmpl w:val="7D4EA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210FAE"/>
    <w:multiLevelType w:val="hybridMultilevel"/>
    <w:tmpl w:val="72B87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FA6FA4"/>
    <w:multiLevelType w:val="hybridMultilevel"/>
    <w:tmpl w:val="1B24A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2"/>
  </w:num>
  <w:num w:numId="4">
    <w:abstractNumId w:val="1"/>
  </w:num>
  <w:num w:numId="5">
    <w:abstractNumId w:val="0"/>
  </w:num>
  <w:num w:numId="6">
    <w:abstractNumId w:val="6"/>
  </w:num>
  <w:num w:numId="7">
    <w:abstractNumId w:val="14"/>
  </w:num>
  <w:num w:numId="8">
    <w:abstractNumId w:val="8"/>
  </w:num>
  <w:num w:numId="9">
    <w:abstractNumId w:val="7"/>
  </w:num>
  <w:num w:numId="10">
    <w:abstractNumId w:val="11"/>
  </w:num>
  <w:num w:numId="11">
    <w:abstractNumId w:val="12"/>
  </w:num>
  <w:num w:numId="12">
    <w:abstractNumId w:val="10"/>
  </w:num>
  <w:num w:numId="13">
    <w:abstractNumId w:val="17"/>
  </w:num>
  <w:num w:numId="14">
    <w:abstractNumId w:val="18"/>
  </w:num>
  <w:num w:numId="15">
    <w:abstractNumId w:val="4"/>
  </w:num>
  <w:num w:numId="16">
    <w:abstractNumId w:val="5"/>
  </w:num>
  <w:num w:numId="17">
    <w:abstractNumId w:val="3"/>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9"/>
  </w:num>
  <w:num w:numId="2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69"/>
    <w:rsid w:val="00026AE1"/>
    <w:rsid w:val="000A1188"/>
    <w:rsid w:val="000C3480"/>
    <w:rsid w:val="000F48F2"/>
    <w:rsid w:val="000F58DE"/>
    <w:rsid w:val="001268F4"/>
    <w:rsid w:val="001D6CD5"/>
    <w:rsid w:val="0020450D"/>
    <w:rsid w:val="00207366"/>
    <w:rsid w:val="0029124F"/>
    <w:rsid w:val="00296DE6"/>
    <w:rsid w:val="002E0FE2"/>
    <w:rsid w:val="003045F4"/>
    <w:rsid w:val="0035467E"/>
    <w:rsid w:val="00362A4D"/>
    <w:rsid w:val="00380FB3"/>
    <w:rsid w:val="00381C0F"/>
    <w:rsid w:val="00382EAE"/>
    <w:rsid w:val="003C3B6F"/>
    <w:rsid w:val="004215D2"/>
    <w:rsid w:val="0048258A"/>
    <w:rsid w:val="00531F1F"/>
    <w:rsid w:val="005521D7"/>
    <w:rsid w:val="00566F5D"/>
    <w:rsid w:val="005B3950"/>
    <w:rsid w:val="005B71D4"/>
    <w:rsid w:val="005F7A9D"/>
    <w:rsid w:val="005F7EAB"/>
    <w:rsid w:val="0060717F"/>
    <w:rsid w:val="006A5721"/>
    <w:rsid w:val="006D098A"/>
    <w:rsid w:val="00706CAE"/>
    <w:rsid w:val="00715C45"/>
    <w:rsid w:val="00727069"/>
    <w:rsid w:val="007404AF"/>
    <w:rsid w:val="0079403C"/>
    <w:rsid w:val="007A56D1"/>
    <w:rsid w:val="007D114D"/>
    <w:rsid w:val="007E36CC"/>
    <w:rsid w:val="00833A8B"/>
    <w:rsid w:val="008452AE"/>
    <w:rsid w:val="009158B6"/>
    <w:rsid w:val="00942132"/>
    <w:rsid w:val="009F5E28"/>
    <w:rsid w:val="00A17B24"/>
    <w:rsid w:val="00A64393"/>
    <w:rsid w:val="00A70A57"/>
    <w:rsid w:val="00A710BF"/>
    <w:rsid w:val="00AB72D3"/>
    <w:rsid w:val="00AD201B"/>
    <w:rsid w:val="00B24BA8"/>
    <w:rsid w:val="00B412E9"/>
    <w:rsid w:val="00B44749"/>
    <w:rsid w:val="00B50284"/>
    <w:rsid w:val="00B51A5B"/>
    <w:rsid w:val="00B875D2"/>
    <w:rsid w:val="00BC666D"/>
    <w:rsid w:val="00BD6B42"/>
    <w:rsid w:val="00C45115"/>
    <w:rsid w:val="00CA3883"/>
    <w:rsid w:val="00CA494B"/>
    <w:rsid w:val="00D06D99"/>
    <w:rsid w:val="00D20CC0"/>
    <w:rsid w:val="00D84968"/>
    <w:rsid w:val="00F27DA2"/>
    <w:rsid w:val="00F43B61"/>
    <w:rsid w:val="00F477D6"/>
    <w:rsid w:val="00F9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617921-12B7-452B-9787-67907DD3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069"/>
    <w:pPr>
      <w:spacing w:after="200" w:line="276" w:lineRule="auto"/>
    </w:pPr>
    <w:rPr>
      <w:rFonts w:asciiTheme="minorHAnsi" w:hAnsiTheme="minorHAnsi"/>
      <w:sz w:val="22"/>
      <w:szCs w:val="22"/>
    </w:rPr>
  </w:style>
  <w:style w:type="paragraph" w:styleId="Heading1">
    <w:name w:val="heading 1"/>
    <w:basedOn w:val="BodyText"/>
    <w:link w:val="Heading1Char"/>
    <w:uiPriority w:val="3"/>
    <w:qFormat/>
    <w:rsid w:val="00C45115"/>
    <w:pPr>
      <w:keepNext/>
      <w:keepLines/>
      <w:numPr>
        <w:numId w:val="6"/>
      </w:numPr>
      <w:outlineLvl w:val="0"/>
    </w:pPr>
    <w:rPr>
      <w:rFonts w:eastAsia="Times New Roman"/>
      <w:b/>
      <w:bCs/>
      <w:caps/>
      <w:szCs w:val="28"/>
      <w:u w:val="single"/>
    </w:rPr>
  </w:style>
  <w:style w:type="paragraph" w:styleId="Heading2">
    <w:name w:val="heading 2"/>
    <w:basedOn w:val="BodyText"/>
    <w:link w:val="Heading2Char"/>
    <w:uiPriority w:val="3"/>
    <w:qFormat/>
    <w:rsid w:val="00C45115"/>
    <w:pPr>
      <w:keepNext/>
      <w:keepLines/>
      <w:numPr>
        <w:ilvl w:val="1"/>
        <w:numId w:val="6"/>
      </w:numPr>
      <w:outlineLvl w:val="1"/>
    </w:pPr>
    <w:rPr>
      <w:rFonts w:eastAsia="Times New Roman" w:cs="Times New Roman"/>
      <w:b/>
      <w:bCs/>
      <w:szCs w:val="26"/>
    </w:rPr>
  </w:style>
  <w:style w:type="paragraph" w:styleId="Heading3">
    <w:name w:val="heading 3"/>
    <w:basedOn w:val="BodyText"/>
    <w:link w:val="Heading3Char"/>
    <w:uiPriority w:val="3"/>
    <w:qFormat/>
    <w:rsid w:val="00C45115"/>
    <w:pPr>
      <w:keepNext/>
      <w:keepLines/>
      <w:numPr>
        <w:ilvl w:val="2"/>
        <w:numId w:val="6"/>
      </w:numPr>
      <w:outlineLvl w:val="2"/>
    </w:pPr>
    <w:rPr>
      <w:rFonts w:eastAsia="Times New Roman" w:cs="Times New Roman"/>
      <w:bCs/>
    </w:rPr>
  </w:style>
  <w:style w:type="paragraph" w:styleId="Heading4">
    <w:name w:val="heading 4"/>
    <w:basedOn w:val="BodyText"/>
    <w:link w:val="Heading4Char"/>
    <w:uiPriority w:val="3"/>
    <w:qFormat/>
    <w:rsid w:val="00C45115"/>
    <w:pPr>
      <w:keepNext/>
      <w:keepLines/>
      <w:numPr>
        <w:ilvl w:val="3"/>
        <w:numId w:val="6"/>
      </w:numPr>
      <w:outlineLvl w:val="3"/>
    </w:pPr>
    <w:rPr>
      <w:rFonts w:eastAsia="Times New Roman" w:cs="Times New Roman"/>
      <w:bCs/>
      <w:iCs/>
    </w:rPr>
  </w:style>
  <w:style w:type="paragraph" w:styleId="Heading5">
    <w:name w:val="heading 5"/>
    <w:basedOn w:val="BodyText"/>
    <w:link w:val="Heading5Char"/>
    <w:uiPriority w:val="3"/>
    <w:qFormat/>
    <w:rsid w:val="00C45115"/>
    <w:pPr>
      <w:keepNext/>
      <w:keepLines/>
      <w:numPr>
        <w:ilvl w:val="4"/>
        <w:numId w:val="6"/>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asciiTheme="minorHAnsi" w:eastAsia="Times New Roman" w:hAnsiTheme="minorHAnsi"/>
      <w:b/>
      <w:bCs/>
      <w:caps/>
      <w:sz w:val="22"/>
      <w:szCs w:val="28"/>
      <w:u w:val="single"/>
    </w:rPr>
  </w:style>
  <w:style w:type="character" w:customStyle="1" w:styleId="Heading2Char">
    <w:name w:val="Heading 2 Char"/>
    <w:link w:val="Heading2"/>
    <w:uiPriority w:val="3"/>
    <w:rsid w:val="00AD201B"/>
    <w:rPr>
      <w:rFonts w:asciiTheme="minorHAnsi" w:eastAsia="Times New Roman" w:hAnsiTheme="minorHAnsi" w:cs="Times New Roman"/>
      <w:b/>
      <w:bCs/>
      <w:sz w:val="22"/>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asciiTheme="minorHAnsi" w:eastAsia="Times New Roman" w:hAnsiTheme="minorHAnsi" w:cs="Times New Roman"/>
      <w:bCs/>
      <w:sz w:val="22"/>
      <w:szCs w:val="22"/>
    </w:rPr>
  </w:style>
  <w:style w:type="character" w:customStyle="1" w:styleId="Heading4Char">
    <w:name w:val="Heading 4 Char"/>
    <w:link w:val="Heading4"/>
    <w:uiPriority w:val="3"/>
    <w:rsid w:val="009F5E28"/>
    <w:rPr>
      <w:rFonts w:asciiTheme="minorHAnsi" w:eastAsia="Times New Roman" w:hAnsiTheme="minorHAnsi" w:cs="Times New Roman"/>
      <w:bCs/>
      <w:iCs/>
      <w:sz w:val="22"/>
      <w:szCs w:val="22"/>
    </w:rPr>
  </w:style>
  <w:style w:type="character" w:customStyle="1" w:styleId="Heading5Char">
    <w:name w:val="Heading 5 Char"/>
    <w:link w:val="Heading5"/>
    <w:uiPriority w:val="3"/>
    <w:rsid w:val="003045F4"/>
    <w:rPr>
      <w:rFonts w:asciiTheme="minorHAnsi" w:eastAsia="Times New Roman" w:hAnsiTheme="minorHAnsi" w:cs="Times New Roman"/>
      <w:sz w:val="22"/>
      <w:szCs w:val="22"/>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C45115"/>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FootnoteText">
    <w:name w:val="footnote text"/>
    <w:basedOn w:val="Normal"/>
    <w:link w:val="FootnoteTextChar"/>
    <w:uiPriority w:val="99"/>
    <w:unhideWhenUsed/>
    <w:rsid w:val="00727069"/>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727069"/>
    <w:rPr>
      <w:rFonts w:ascii="Calibri" w:hAnsi="Calibri" w:cs="Times New Roman"/>
      <w:sz w:val="20"/>
      <w:szCs w:val="20"/>
    </w:rPr>
  </w:style>
  <w:style w:type="character" w:styleId="FootnoteReference">
    <w:name w:val="footnote reference"/>
    <w:basedOn w:val="DefaultParagraphFont"/>
    <w:uiPriority w:val="99"/>
    <w:unhideWhenUsed/>
    <w:rsid w:val="00727069"/>
    <w:rPr>
      <w:vertAlign w:val="superscript"/>
    </w:rPr>
  </w:style>
  <w:style w:type="paragraph" w:styleId="Header">
    <w:name w:val="header"/>
    <w:basedOn w:val="Normal"/>
    <w:link w:val="HeaderChar"/>
    <w:uiPriority w:val="99"/>
    <w:unhideWhenUsed/>
    <w:rsid w:val="0072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069"/>
    <w:rPr>
      <w:rFonts w:asciiTheme="minorHAnsi" w:hAnsiTheme="minorHAnsi"/>
      <w:sz w:val="22"/>
      <w:szCs w:val="22"/>
    </w:rPr>
  </w:style>
  <w:style w:type="paragraph" w:styleId="Footer">
    <w:name w:val="footer"/>
    <w:basedOn w:val="Normal"/>
    <w:link w:val="FooterChar"/>
    <w:uiPriority w:val="99"/>
    <w:unhideWhenUsed/>
    <w:rsid w:val="0072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069"/>
    <w:rPr>
      <w:rFonts w:asciiTheme="minorHAnsi" w:hAnsiTheme="minorHAnsi"/>
      <w:sz w:val="22"/>
      <w:szCs w:val="22"/>
    </w:rPr>
  </w:style>
  <w:style w:type="paragraph" w:styleId="NormalWeb">
    <w:name w:val="Normal (Web)"/>
    <w:basedOn w:val="Normal"/>
    <w:uiPriority w:val="99"/>
    <w:semiHidden/>
    <w:unhideWhenUsed/>
    <w:rsid w:val="007270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locked/>
    <w:rsid w:val="00727069"/>
    <w:pPr>
      <w:ind w:left="720"/>
      <w:contextualSpacing/>
    </w:pPr>
  </w:style>
  <w:style w:type="paragraph" w:styleId="BalloonText">
    <w:name w:val="Balloon Text"/>
    <w:basedOn w:val="Normal"/>
    <w:link w:val="BalloonTextChar"/>
    <w:uiPriority w:val="99"/>
    <w:semiHidden/>
    <w:unhideWhenUsed/>
    <w:rsid w:val="00D06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99"/>
    <w:rPr>
      <w:rFonts w:ascii="Segoe UI" w:hAnsi="Segoe UI" w:cs="Segoe UI"/>
      <w:sz w:val="18"/>
      <w:szCs w:val="18"/>
    </w:rPr>
  </w:style>
  <w:style w:type="character" w:styleId="CommentReference">
    <w:name w:val="annotation reference"/>
    <w:basedOn w:val="DefaultParagraphFont"/>
    <w:uiPriority w:val="99"/>
    <w:semiHidden/>
    <w:unhideWhenUsed/>
    <w:rsid w:val="001D6CD5"/>
    <w:rPr>
      <w:sz w:val="16"/>
      <w:szCs w:val="16"/>
    </w:rPr>
  </w:style>
  <w:style w:type="paragraph" w:styleId="CommentText">
    <w:name w:val="annotation text"/>
    <w:basedOn w:val="Normal"/>
    <w:link w:val="CommentTextChar"/>
    <w:uiPriority w:val="99"/>
    <w:semiHidden/>
    <w:unhideWhenUsed/>
    <w:rsid w:val="001D6CD5"/>
    <w:pPr>
      <w:spacing w:line="240" w:lineRule="auto"/>
    </w:pPr>
    <w:rPr>
      <w:sz w:val="20"/>
      <w:szCs w:val="20"/>
    </w:rPr>
  </w:style>
  <w:style w:type="character" w:customStyle="1" w:styleId="CommentTextChar">
    <w:name w:val="Comment Text Char"/>
    <w:basedOn w:val="DefaultParagraphFont"/>
    <w:link w:val="CommentText"/>
    <w:uiPriority w:val="99"/>
    <w:semiHidden/>
    <w:rsid w:val="001D6CD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6CD5"/>
    <w:rPr>
      <w:b/>
      <w:bCs/>
    </w:rPr>
  </w:style>
  <w:style w:type="character" w:customStyle="1" w:styleId="CommentSubjectChar">
    <w:name w:val="Comment Subject Char"/>
    <w:basedOn w:val="CommentTextChar"/>
    <w:link w:val="CommentSubject"/>
    <w:uiPriority w:val="99"/>
    <w:semiHidden/>
    <w:rsid w:val="001D6CD5"/>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438560">
      <w:bodyDiv w:val="1"/>
      <w:marLeft w:val="0"/>
      <w:marRight w:val="0"/>
      <w:marTop w:val="0"/>
      <w:marBottom w:val="0"/>
      <w:divBdr>
        <w:top w:val="none" w:sz="0" w:space="0" w:color="auto"/>
        <w:left w:val="none" w:sz="0" w:space="0" w:color="auto"/>
        <w:bottom w:val="none" w:sz="0" w:space="0" w:color="auto"/>
        <w:right w:val="none" w:sz="0" w:space="0" w:color="auto"/>
      </w:divBdr>
    </w:div>
    <w:div w:id="1373843853">
      <w:bodyDiv w:val="1"/>
      <w:marLeft w:val="0"/>
      <w:marRight w:val="0"/>
      <w:marTop w:val="0"/>
      <w:marBottom w:val="0"/>
      <w:divBdr>
        <w:top w:val="none" w:sz="0" w:space="0" w:color="auto"/>
        <w:left w:val="none" w:sz="0" w:space="0" w:color="auto"/>
        <w:bottom w:val="none" w:sz="0" w:space="0" w:color="auto"/>
        <w:right w:val="none" w:sz="0" w:space="0" w:color="auto"/>
      </w:divBdr>
    </w:div>
    <w:div w:id="1487166890">
      <w:bodyDiv w:val="1"/>
      <w:marLeft w:val="0"/>
      <w:marRight w:val="0"/>
      <w:marTop w:val="0"/>
      <w:marBottom w:val="0"/>
      <w:divBdr>
        <w:top w:val="none" w:sz="0" w:space="0" w:color="auto"/>
        <w:left w:val="none" w:sz="0" w:space="0" w:color="auto"/>
        <w:bottom w:val="none" w:sz="0" w:space="0" w:color="auto"/>
        <w:right w:val="none" w:sz="0" w:space="0" w:color="auto"/>
      </w:divBdr>
    </w:div>
    <w:div w:id="15285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6705-D240-4C1F-9228-6B4D6B75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Venable LLP</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Bigart, Andrew E.</dc:creator>
  <cp:keywords/>
  <dc:description/>
  <cp:lastModifiedBy>Grant Carlson</cp:lastModifiedBy>
  <cp:revision>2</cp:revision>
  <cp:lastPrinted>2016-11-14T13:37:00Z</cp:lastPrinted>
  <dcterms:created xsi:type="dcterms:W3CDTF">2016-11-14T20:33:00Z</dcterms:created>
  <dcterms:modified xsi:type="dcterms:W3CDTF">2016-11-14T20:33:00Z</dcterms:modified>
</cp:coreProperties>
</file>